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463B3" w14:textId="77777777" w:rsidR="004B7942" w:rsidRPr="00621DFD" w:rsidRDefault="00621DFD" w:rsidP="00621DFD">
      <w:pPr>
        <w:jc w:val="center"/>
        <w:rPr>
          <w:rFonts w:cs="David"/>
          <w:sz w:val="28"/>
          <w:szCs w:val="28"/>
          <w:rtl/>
        </w:rPr>
      </w:pPr>
      <w:r w:rsidRPr="00621DFD">
        <w:rPr>
          <w:rFonts w:ascii="Times New Roman" w:hAnsi="Times New Roman" w:cs="David" w:hint="cs"/>
          <w:color w:val="000000"/>
          <w:sz w:val="32"/>
          <w:szCs w:val="32"/>
          <w:rtl/>
        </w:rPr>
        <w:t>משרד הפנים פונה לציבור בהזמנה להשמיע עמדתו בדבר הכוונה לעדכן את חוזר מנכ"ל משרד הפנים לעניין ביצוע עסקאות במסגרת שותפות ציבורית-פרטית (</w:t>
      </w:r>
      <w:r w:rsidRPr="00621DFD">
        <w:rPr>
          <w:rFonts w:ascii="Times New Roman" w:hAnsi="Times New Roman" w:cs="David"/>
          <w:color w:val="000000"/>
          <w:sz w:val="32"/>
          <w:szCs w:val="32"/>
        </w:rPr>
        <w:t>Public–Private Partnership</w:t>
      </w:r>
      <w:r w:rsidRPr="00621DFD">
        <w:rPr>
          <w:rFonts w:cs="David" w:hint="cs"/>
          <w:sz w:val="28"/>
          <w:szCs w:val="28"/>
          <w:rtl/>
        </w:rPr>
        <w:t>).</w:t>
      </w:r>
    </w:p>
    <w:p w14:paraId="4EE18525" w14:textId="77777777" w:rsidR="00621DFD" w:rsidRDefault="00621DFD" w:rsidP="00621DFD">
      <w:pPr>
        <w:rPr>
          <w:rtl/>
        </w:rPr>
      </w:pPr>
    </w:p>
    <w:p w14:paraId="671EC994" w14:textId="7CEEEFB3" w:rsidR="00893B8D" w:rsidRPr="00DC2F8D" w:rsidRDefault="00893B8D" w:rsidP="00DC2F8D">
      <w:pPr>
        <w:tabs>
          <w:tab w:val="left" w:pos="3686"/>
        </w:tabs>
        <w:jc w:val="center"/>
        <w:rPr>
          <w:rFonts w:cs="David"/>
          <w:b/>
          <w:bCs/>
          <w:sz w:val="26"/>
          <w:szCs w:val="26"/>
          <w:u w:val="single"/>
          <w:rtl/>
        </w:rPr>
      </w:pPr>
      <w:r w:rsidRPr="00DC2F8D">
        <w:rPr>
          <w:rFonts w:cs="David" w:hint="cs"/>
          <w:b/>
          <w:bCs/>
          <w:sz w:val="26"/>
          <w:szCs w:val="26"/>
          <w:u w:val="single"/>
          <w:rtl/>
        </w:rPr>
        <w:t>רקע כללי</w:t>
      </w:r>
    </w:p>
    <w:p w14:paraId="09DFBFBF" w14:textId="36748A15" w:rsidR="009A13C0" w:rsidRPr="00DC2F8D" w:rsidRDefault="00893B8D" w:rsidP="00DC2F8D">
      <w:pPr>
        <w:spacing w:after="0" w:line="360" w:lineRule="auto"/>
        <w:ind w:left="795"/>
        <w:jc w:val="both"/>
        <w:rPr>
          <w:rFonts w:ascii="Arial" w:hAnsi="Arial" w:cs="David"/>
          <w:szCs w:val="24"/>
          <w:rtl/>
        </w:rPr>
      </w:pPr>
      <w:r w:rsidRPr="00DC2F8D">
        <w:rPr>
          <w:rFonts w:ascii="Arial" w:hAnsi="Arial" w:cs="David" w:hint="cs"/>
          <w:szCs w:val="24"/>
          <w:rtl/>
        </w:rPr>
        <w:t>הקרקע הינה משאב</w:t>
      </w:r>
      <w:r w:rsidR="009A13C0" w:rsidRPr="00DC2F8D">
        <w:rPr>
          <w:rFonts w:ascii="Arial" w:hAnsi="Arial" w:cs="David" w:hint="cs"/>
          <w:szCs w:val="24"/>
          <w:rtl/>
        </w:rPr>
        <w:t xml:space="preserve"> מוגבל וכל שימוש בה מחייב בחינה מושכלת של שימושים קיימים ועתידיים לטובת פיתוח עירוני מיטבי. לצד הצורך בפיתוח עירוני מיטבי נמצא כי תמהיל השימושים בקרקע העירונית יש בו בכדי להשפיע על חוסנה הכל</w:t>
      </w:r>
      <w:r w:rsidR="00DC2F8D">
        <w:rPr>
          <w:rFonts w:ascii="Arial" w:hAnsi="Arial" w:cs="David" w:hint="cs"/>
          <w:szCs w:val="24"/>
          <w:rtl/>
        </w:rPr>
        <w:t xml:space="preserve">כלי של הרשות המקומית. </w:t>
      </w:r>
      <w:r w:rsidR="009A13C0" w:rsidRPr="00DC2F8D">
        <w:rPr>
          <w:rFonts w:ascii="Arial" w:hAnsi="Arial" w:cs="David" w:hint="cs"/>
          <w:szCs w:val="24"/>
          <w:rtl/>
        </w:rPr>
        <w:t>מתוקף כך נמצא כי בחינת החלופות לשימוש בקרקע העירונית ובחינת המשמעויות הכלכליות של החלופות השונות יש בה בכדי להשפיע על יכולתה של הרשות המק</w:t>
      </w:r>
      <w:r w:rsidR="00DC2F8D">
        <w:rPr>
          <w:rFonts w:ascii="Arial" w:hAnsi="Arial" w:cs="David" w:hint="cs"/>
          <w:szCs w:val="24"/>
          <w:rtl/>
        </w:rPr>
        <w:t>ומית למקסם את משאב הקרקע ולתרגם משמעות זו</w:t>
      </w:r>
      <w:r w:rsidR="009A13C0" w:rsidRPr="00DC2F8D">
        <w:rPr>
          <w:rFonts w:ascii="Arial" w:hAnsi="Arial" w:cs="David" w:hint="cs"/>
          <w:szCs w:val="24"/>
          <w:rtl/>
        </w:rPr>
        <w:t xml:space="preserve"> ל</w:t>
      </w:r>
      <w:r w:rsidR="00DC2F8D">
        <w:rPr>
          <w:rFonts w:ascii="Arial" w:hAnsi="Arial" w:cs="David" w:hint="cs"/>
          <w:szCs w:val="24"/>
          <w:rtl/>
        </w:rPr>
        <w:t>זרם הכנסות קבוע שבא לידי ביטוי בהמשך ב</w:t>
      </w:r>
      <w:r w:rsidR="009A13C0" w:rsidRPr="00DC2F8D">
        <w:rPr>
          <w:rFonts w:ascii="Arial" w:hAnsi="Arial" w:cs="David" w:hint="cs"/>
          <w:szCs w:val="24"/>
          <w:rtl/>
        </w:rPr>
        <w:t>יכולתה של הרשות המקומית לשפר את השירותים המוניציפאליים הניתנים לתושב</w:t>
      </w:r>
      <w:r w:rsidR="00DC2F8D">
        <w:rPr>
          <w:rFonts w:ascii="Arial" w:hAnsi="Arial" w:cs="David" w:hint="cs"/>
          <w:szCs w:val="24"/>
          <w:rtl/>
        </w:rPr>
        <w:t xml:space="preserve"> או לפגוע ביכולת זו לאור התנהלות אחרת</w:t>
      </w:r>
      <w:r w:rsidR="009A13C0" w:rsidRPr="00DC2F8D">
        <w:rPr>
          <w:rFonts w:ascii="Arial" w:hAnsi="Arial" w:cs="David" w:hint="cs"/>
          <w:szCs w:val="24"/>
          <w:rtl/>
        </w:rPr>
        <w:t xml:space="preserve">.  </w:t>
      </w:r>
    </w:p>
    <w:p w14:paraId="07A822C3" w14:textId="680AF6E0" w:rsidR="009A13C0" w:rsidRDefault="002B0A36" w:rsidP="00DC2F8D">
      <w:pPr>
        <w:spacing w:after="0" w:line="360" w:lineRule="auto"/>
        <w:ind w:left="795"/>
        <w:jc w:val="both"/>
        <w:rPr>
          <w:rFonts w:ascii="Arial" w:hAnsi="Arial" w:cs="David"/>
          <w:szCs w:val="24"/>
          <w:rtl/>
        </w:rPr>
      </w:pPr>
      <w:r w:rsidRPr="00DC2F8D">
        <w:rPr>
          <w:rFonts w:ascii="Arial" w:hAnsi="Arial" w:cs="David" w:hint="cs"/>
          <w:szCs w:val="24"/>
          <w:rtl/>
        </w:rPr>
        <w:t xml:space="preserve">המקרקעין הינו משאב </w:t>
      </w:r>
      <w:r w:rsidR="009A13C0" w:rsidRPr="00DC2F8D">
        <w:rPr>
          <w:rFonts w:ascii="Arial" w:hAnsi="Arial" w:cs="David" w:hint="cs"/>
          <w:szCs w:val="24"/>
          <w:rtl/>
        </w:rPr>
        <w:t>יקר ביותר של הרשות המקומית</w:t>
      </w:r>
      <w:r w:rsidRPr="00DC2F8D">
        <w:rPr>
          <w:rFonts w:ascii="Arial" w:hAnsi="Arial" w:cs="David" w:hint="cs"/>
          <w:szCs w:val="24"/>
          <w:rtl/>
        </w:rPr>
        <w:t xml:space="preserve">, </w:t>
      </w:r>
      <w:r w:rsidR="009A13C0" w:rsidRPr="00DC2F8D">
        <w:rPr>
          <w:rFonts w:ascii="Arial" w:hAnsi="Arial" w:cs="David" w:hint="cs"/>
          <w:szCs w:val="24"/>
          <w:rtl/>
        </w:rPr>
        <w:t>משאב מתכלה</w:t>
      </w:r>
      <w:r w:rsidRPr="00DC2F8D">
        <w:rPr>
          <w:rFonts w:ascii="Arial" w:hAnsi="Arial" w:cs="David" w:hint="cs"/>
          <w:szCs w:val="24"/>
          <w:rtl/>
        </w:rPr>
        <w:t xml:space="preserve"> ומשאב בבעלות ציבורית</w:t>
      </w:r>
      <w:r w:rsidR="009A13C0" w:rsidRPr="00DC2F8D">
        <w:rPr>
          <w:rFonts w:ascii="Arial" w:hAnsi="Arial" w:cs="David" w:hint="cs"/>
          <w:szCs w:val="24"/>
          <w:rtl/>
        </w:rPr>
        <w:t>.</w:t>
      </w:r>
      <w:r w:rsidR="00DC2F8D">
        <w:rPr>
          <w:rFonts w:ascii="Arial" w:hAnsi="Arial" w:cs="David" w:hint="cs"/>
          <w:szCs w:val="24"/>
          <w:rtl/>
        </w:rPr>
        <w:t xml:space="preserve"> לאור מאפיינים אלו על הרשות המקומית לנהל את המשאב הקרקעי, לרבות זכויותיה בקרקע,  באופן מושכל ומיטבי ובאופן שעולה בקנה אחד עם טובת הציבור. </w:t>
      </w:r>
      <w:r w:rsidRPr="00DC2F8D">
        <w:rPr>
          <w:rFonts w:ascii="Arial" w:hAnsi="Arial" w:cs="David" w:hint="cs"/>
          <w:szCs w:val="24"/>
          <w:rtl/>
        </w:rPr>
        <w:t xml:space="preserve"> </w:t>
      </w:r>
    </w:p>
    <w:p w14:paraId="07ADD189" w14:textId="020940EF" w:rsidR="00DC2F8D" w:rsidRPr="00DC2F8D" w:rsidRDefault="00C20CC5" w:rsidP="00DC2F8D">
      <w:pPr>
        <w:spacing w:after="0" w:line="360" w:lineRule="auto"/>
        <w:ind w:left="795"/>
        <w:jc w:val="both"/>
        <w:rPr>
          <w:rFonts w:ascii="Arial" w:hAnsi="Arial" w:cs="David"/>
          <w:szCs w:val="24"/>
        </w:rPr>
      </w:pPr>
      <w:r>
        <w:rPr>
          <w:rFonts w:ascii="Arial" w:hAnsi="Arial" w:cs="David" w:hint="cs"/>
          <w:szCs w:val="24"/>
          <w:rtl/>
        </w:rPr>
        <w:t>שותפות ציבורית פרטית נכון שתיבחן בהתאם לערך המוסף של כל אחד מהסקטורים ובאופן כזה שבו היתרון היחסי של כל סקטור בא לידי ביטוי. כדאיות שיתוף הפעולה נבחנת במגוון רחב של רכיבים ושיקולים כאשר לצד השיקולים הכלכליים</w:t>
      </w:r>
      <w:r w:rsidR="004F08C8">
        <w:rPr>
          <w:rFonts w:ascii="Arial" w:hAnsi="Arial" w:cs="David" w:hint="cs"/>
          <w:szCs w:val="24"/>
          <w:rtl/>
        </w:rPr>
        <w:t xml:space="preserve"> (עלויות הקמה, עמידה בלוח זמנים, סיכוני ביקוש, עלויות תפעול ואחזקה, סיכונים פיננסיים)</w:t>
      </w:r>
      <w:r>
        <w:rPr>
          <w:rFonts w:ascii="Arial" w:hAnsi="Arial" w:cs="David" w:hint="cs"/>
          <w:szCs w:val="24"/>
          <w:rtl/>
        </w:rPr>
        <w:t xml:space="preserve"> נבחנת גם התועלת הציבורית</w:t>
      </w:r>
      <w:r w:rsidR="004F08C8">
        <w:rPr>
          <w:rFonts w:ascii="Arial" w:hAnsi="Arial" w:cs="David" w:hint="cs"/>
          <w:szCs w:val="24"/>
          <w:rtl/>
        </w:rPr>
        <w:t xml:space="preserve"> במובנה הרחב</w:t>
      </w:r>
      <w:r>
        <w:rPr>
          <w:rFonts w:ascii="Arial" w:hAnsi="Arial" w:cs="David" w:hint="cs"/>
          <w:szCs w:val="24"/>
          <w:rtl/>
        </w:rPr>
        <w:t>.</w:t>
      </w:r>
      <w:r w:rsidR="004F08C8">
        <w:rPr>
          <w:rFonts w:ascii="Arial" w:hAnsi="Arial" w:cs="David" w:hint="cs"/>
          <w:szCs w:val="24"/>
          <w:rtl/>
        </w:rPr>
        <w:t xml:space="preserve">  </w:t>
      </w:r>
      <w:r>
        <w:rPr>
          <w:rFonts w:ascii="Arial" w:hAnsi="Arial" w:cs="David" w:hint="cs"/>
          <w:szCs w:val="24"/>
          <w:rtl/>
        </w:rPr>
        <w:t xml:space="preserve"> </w:t>
      </w:r>
    </w:p>
    <w:p w14:paraId="3E984900" w14:textId="0C828980" w:rsidR="009A13C0" w:rsidRPr="004F08C8" w:rsidRDefault="009A13C0" w:rsidP="00DC2F8D">
      <w:pPr>
        <w:jc w:val="both"/>
        <w:rPr>
          <w:rtl/>
        </w:rPr>
      </w:pPr>
    </w:p>
    <w:p w14:paraId="757B8324" w14:textId="30720D68" w:rsidR="00FE105A" w:rsidRPr="004F08C8" w:rsidRDefault="004F08C8" w:rsidP="004F08C8">
      <w:pPr>
        <w:tabs>
          <w:tab w:val="left" w:pos="3686"/>
        </w:tabs>
        <w:jc w:val="center"/>
        <w:rPr>
          <w:rFonts w:cs="David"/>
          <w:b/>
          <w:bCs/>
          <w:sz w:val="26"/>
          <w:szCs w:val="26"/>
          <w:u w:val="single"/>
          <w:rtl/>
        </w:rPr>
      </w:pPr>
      <w:r w:rsidRPr="004F08C8">
        <w:rPr>
          <w:rFonts w:cs="David" w:hint="cs"/>
          <w:b/>
          <w:bCs/>
          <w:sz w:val="26"/>
          <w:szCs w:val="26"/>
          <w:u w:val="single"/>
          <w:rtl/>
        </w:rPr>
        <w:t>דוגמאות לשימושים אפשריים במודל של שותפות ציבורית-פרטית:</w:t>
      </w:r>
    </w:p>
    <w:p w14:paraId="22BA16D6" w14:textId="3D0F0173" w:rsidR="004F08C8" w:rsidRDefault="004F08C8" w:rsidP="001C75AF">
      <w:pPr>
        <w:pStyle w:val="a3"/>
        <w:numPr>
          <w:ilvl w:val="0"/>
          <w:numId w:val="3"/>
        </w:numPr>
      </w:pPr>
      <w:r>
        <w:rPr>
          <w:rFonts w:hint="cs"/>
          <w:rtl/>
        </w:rPr>
        <w:t>תחום השירותים החברתיים (</w:t>
      </w:r>
      <w:r w:rsidR="001C75AF">
        <w:rPr>
          <w:rFonts w:hint="cs"/>
          <w:rtl/>
        </w:rPr>
        <w:t xml:space="preserve">מוסדות </w:t>
      </w:r>
      <w:r>
        <w:rPr>
          <w:rFonts w:hint="cs"/>
          <w:rtl/>
        </w:rPr>
        <w:t>רווחה וחינוך</w:t>
      </w:r>
      <w:r w:rsidR="001C75AF">
        <w:rPr>
          <w:rFonts w:hint="cs"/>
          <w:rtl/>
        </w:rPr>
        <w:t xml:space="preserve"> כגון מעונות יום</w:t>
      </w:r>
      <w:r>
        <w:rPr>
          <w:rFonts w:hint="cs"/>
          <w:rtl/>
        </w:rPr>
        <w:t>)</w:t>
      </w:r>
      <w:r w:rsidR="001C75AF">
        <w:rPr>
          <w:rFonts w:hint="cs"/>
          <w:rtl/>
        </w:rPr>
        <w:t>.</w:t>
      </w:r>
    </w:p>
    <w:p w14:paraId="580ACDB5" w14:textId="59E17B6B" w:rsidR="004F08C8" w:rsidRDefault="004F08C8" w:rsidP="001C75AF">
      <w:pPr>
        <w:pStyle w:val="a3"/>
        <w:numPr>
          <w:ilvl w:val="0"/>
          <w:numId w:val="3"/>
        </w:numPr>
      </w:pPr>
      <w:r>
        <w:rPr>
          <w:rFonts w:hint="cs"/>
          <w:rtl/>
        </w:rPr>
        <w:t>תחום התחבורה (רכבת קלה, כבישי אגרה, מנהרות</w:t>
      </w:r>
      <w:r w:rsidR="001C75AF">
        <w:rPr>
          <w:rFonts w:hint="cs"/>
          <w:rtl/>
        </w:rPr>
        <w:t xml:space="preserve"> אגרה</w:t>
      </w:r>
      <w:r>
        <w:rPr>
          <w:rFonts w:hint="cs"/>
          <w:rtl/>
        </w:rPr>
        <w:t>)</w:t>
      </w:r>
      <w:r w:rsidR="001C75AF">
        <w:rPr>
          <w:rFonts w:hint="cs"/>
          <w:rtl/>
        </w:rPr>
        <w:t>.</w:t>
      </w:r>
    </w:p>
    <w:p w14:paraId="31827AE9" w14:textId="03EA7B08" w:rsidR="004F08C8" w:rsidRDefault="004F08C8" w:rsidP="001C75AF">
      <w:pPr>
        <w:pStyle w:val="a3"/>
        <w:numPr>
          <w:ilvl w:val="0"/>
          <w:numId w:val="3"/>
        </w:numPr>
      </w:pPr>
      <w:r>
        <w:rPr>
          <w:rFonts w:hint="cs"/>
          <w:rtl/>
        </w:rPr>
        <w:t xml:space="preserve">תחומי תרבות, פנאי וספורט (קאנטרי קלאב, מרינה, מוזיאון, קניון, חניון ציבורי, מעונות סטודנטים, דיור מוגן, </w:t>
      </w:r>
      <w:r w:rsidR="001C75AF">
        <w:rPr>
          <w:rFonts w:hint="cs"/>
          <w:rtl/>
        </w:rPr>
        <w:t>א</w:t>
      </w:r>
      <w:r>
        <w:rPr>
          <w:rFonts w:hint="cs"/>
          <w:rtl/>
        </w:rPr>
        <w:t>צטדיון, מרכז טניס, בניין עירייה, שוק עירוני)</w:t>
      </w:r>
      <w:r w:rsidR="001C75AF">
        <w:rPr>
          <w:rFonts w:hint="cs"/>
          <w:rtl/>
        </w:rPr>
        <w:t>.</w:t>
      </w:r>
    </w:p>
    <w:p w14:paraId="75B21488" w14:textId="7BE937CF" w:rsidR="004F08C8" w:rsidRDefault="004F08C8" w:rsidP="001C75AF">
      <w:pPr>
        <w:pStyle w:val="a3"/>
        <w:numPr>
          <w:ilvl w:val="0"/>
          <w:numId w:val="3"/>
        </w:numPr>
      </w:pPr>
      <w:r>
        <w:rPr>
          <w:rFonts w:hint="cs"/>
          <w:rtl/>
        </w:rPr>
        <w:t xml:space="preserve">תחומי התשתיות העירוניות (טיהור שפכים, טיוב </w:t>
      </w:r>
      <w:r w:rsidR="001C75AF">
        <w:rPr>
          <w:rFonts w:hint="cs"/>
          <w:rtl/>
        </w:rPr>
        <w:t>בארות, מ</w:t>
      </w:r>
      <w:r>
        <w:rPr>
          <w:rFonts w:hint="cs"/>
          <w:rtl/>
        </w:rPr>
        <w:t>חזור</w:t>
      </w:r>
      <w:r w:rsidR="001C75AF">
        <w:rPr>
          <w:rFonts w:hint="cs"/>
          <w:rtl/>
        </w:rPr>
        <w:t xml:space="preserve"> פסולת</w:t>
      </w:r>
      <w:r>
        <w:rPr>
          <w:rFonts w:hint="cs"/>
          <w:rtl/>
        </w:rPr>
        <w:t>, אתר הטמנה,  מערכת פנאומטית לפינוי אשפה)</w:t>
      </w:r>
      <w:r w:rsidR="001C75AF">
        <w:rPr>
          <w:rFonts w:hint="cs"/>
          <w:rtl/>
        </w:rPr>
        <w:t>.</w:t>
      </w:r>
    </w:p>
    <w:p w14:paraId="65E8A193" w14:textId="77777777" w:rsidR="005D56FE" w:rsidRPr="004F08C8" w:rsidRDefault="005D56FE" w:rsidP="00621DFD">
      <w:pPr>
        <w:rPr>
          <w:rtl/>
        </w:rPr>
      </w:pPr>
    </w:p>
    <w:p w14:paraId="288B8282" w14:textId="77777777" w:rsidR="005D56FE" w:rsidRDefault="005D56FE" w:rsidP="00621DFD">
      <w:pPr>
        <w:rPr>
          <w:rtl/>
        </w:rPr>
      </w:pPr>
    </w:p>
    <w:p w14:paraId="0B1A839B" w14:textId="77777777" w:rsidR="005D56FE" w:rsidRDefault="005D56FE" w:rsidP="00621DFD">
      <w:pPr>
        <w:rPr>
          <w:rtl/>
        </w:rPr>
      </w:pPr>
    </w:p>
    <w:p w14:paraId="133784A3" w14:textId="77777777" w:rsidR="005D56FE" w:rsidRDefault="005D56FE" w:rsidP="00621DFD">
      <w:pPr>
        <w:rPr>
          <w:rtl/>
        </w:rPr>
      </w:pPr>
    </w:p>
    <w:p w14:paraId="5A68AF83" w14:textId="675BDE82" w:rsidR="005D56FE" w:rsidRDefault="00096616" w:rsidP="00096616">
      <w:pPr>
        <w:tabs>
          <w:tab w:val="left" w:pos="3686"/>
        </w:tabs>
        <w:jc w:val="center"/>
        <w:rPr>
          <w:rFonts w:cs="David"/>
          <w:b/>
          <w:bCs/>
          <w:sz w:val="26"/>
          <w:szCs w:val="26"/>
          <w:u w:val="single"/>
          <w:rtl/>
        </w:rPr>
      </w:pPr>
      <w:bookmarkStart w:id="0" w:name="_GoBack"/>
      <w:bookmarkEnd w:id="0"/>
      <w:r>
        <w:rPr>
          <w:rFonts w:cs="David" w:hint="cs"/>
          <w:b/>
          <w:bCs/>
          <w:sz w:val="26"/>
          <w:szCs w:val="26"/>
          <w:u w:val="single"/>
          <w:rtl/>
        </w:rPr>
        <w:lastRenderedPageBreak/>
        <w:t>הנחיות ונהלים ל</w:t>
      </w:r>
      <w:r w:rsidR="005D56FE">
        <w:rPr>
          <w:rFonts w:cs="David" w:hint="cs"/>
          <w:b/>
          <w:bCs/>
          <w:sz w:val="26"/>
          <w:szCs w:val="26"/>
          <w:u w:val="single"/>
          <w:rtl/>
        </w:rPr>
        <w:t xml:space="preserve">ביצוע </w:t>
      </w:r>
      <w:r w:rsidR="005D56FE" w:rsidRPr="00A63D95">
        <w:rPr>
          <w:rFonts w:cs="David"/>
          <w:b/>
          <w:bCs/>
          <w:sz w:val="26"/>
          <w:szCs w:val="26"/>
          <w:u w:val="single"/>
          <w:rtl/>
        </w:rPr>
        <w:t>פרויקטים בשותפות ציבורית - פרטית (</w:t>
      </w:r>
      <w:r w:rsidR="005D56FE" w:rsidRPr="00A63D95">
        <w:rPr>
          <w:rFonts w:cs="David"/>
          <w:b/>
          <w:bCs/>
          <w:sz w:val="26"/>
          <w:szCs w:val="26"/>
          <w:u w:val="single"/>
        </w:rPr>
        <w:t>PPP</w:t>
      </w:r>
      <w:r w:rsidR="005D56FE" w:rsidRPr="00A63D95">
        <w:rPr>
          <w:rFonts w:cs="David"/>
          <w:b/>
          <w:bCs/>
          <w:sz w:val="26"/>
          <w:szCs w:val="26"/>
          <w:u w:val="single"/>
          <w:rtl/>
        </w:rPr>
        <w:t>)</w:t>
      </w:r>
    </w:p>
    <w:p w14:paraId="7D2208CE" w14:textId="77777777" w:rsidR="00096616" w:rsidRPr="00A63D95" w:rsidRDefault="00096616" w:rsidP="00096616">
      <w:pPr>
        <w:tabs>
          <w:tab w:val="left" w:pos="3686"/>
        </w:tabs>
        <w:jc w:val="center"/>
        <w:rPr>
          <w:rFonts w:cs="David"/>
          <w:b/>
          <w:bCs/>
          <w:sz w:val="26"/>
          <w:szCs w:val="26"/>
          <w:u w:val="single"/>
          <w:rtl/>
        </w:rPr>
      </w:pPr>
      <w:r>
        <w:rPr>
          <w:rFonts w:cs="David" w:hint="cs"/>
          <w:b/>
          <w:bCs/>
          <w:sz w:val="26"/>
          <w:szCs w:val="26"/>
          <w:u w:val="single"/>
          <w:rtl/>
        </w:rPr>
        <w:t>ברשויות המקומיות ובגופי השלטון המקומי</w:t>
      </w:r>
    </w:p>
    <w:p w14:paraId="5F00CB5C" w14:textId="1BBCB080" w:rsidR="00451269" w:rsidRPr="00451269" w:rsidRDefault="00451269" w:rsidP="00451269">
      <w:pPr>
        <w:numPr>
          <w:ilvl w:val="1"/>
          <w:numId w:val="1"/>
        </w:numPr>
        <w:spacing w:after="0" w:line="360" w:lineRule="auto"/>
        <w:jc w:val="both"/>
        <w:rPr>
          <w:rFonts w:ascii="Arial" w:hAnsi="Arial" w:cs="David"/>
          <w:b/>
          <w:bCs/>
          <w:szCs w:val="24"/>
          <w:u w:val="single"/>
        </w:rPr>
      </w:pPr>
      <w:r w:rsidRPr="00451269">
        <w:rPr>
          <w:rFonts w:ascii="Arial" w:hAnsi="Arial" w:cs="David" w:hint="cs"/>
          <w:b/>
          <w:bCs/>
          <w:szCs w:val="24"/>
          <w:u w:val="single"/>
          <w:rtl/>
        </w:rPr>
        <w:t>חובת בחינת</w:t>
      </w:r>
      <w:r w:rsidRPr="00451269">
        <w:rPr>
          <w:rFonts w:ascii="Arial" w:hAnsi="Arial" w:cs="David"/>
          <w:b/>
          <w:bCs/>
          <w:szCs w:val="24"/>
          <w:u w:val="single"/>
          <w:rtl/>
        </w:rPr>
        <w:t xml:space="preserve"> </w:t>
      </w:r>
      <w:r w:rsidRPr="00451269">
        <w:rPr>
          <w:rFonts w:ascii="Arial" w:hAnsi="Arial" w:cs="David" w:hint="cs"/>
          <w:b/>
          <w:bCs/>
          <w:szCs w:val="24"/>
          <w:u w:val="single"/>
          <w:rtl/>
        </w:rPr>
        <w:t>חלופות</w:t>
      </w:r>
      <w:r w:rsidRPr="00451269">
        <w:rPr>
          <w:rFonts w:ascii="Arial" w:hAnsi="Arial" w:cs="David"/>
          <w:b/>
          <w:bCs/>
          <w:szCs w:val="24"/>
          <w:u w:val="single"/>
          <w:rtl/>
        </w:rPr>
        <w:t xml:space="preserve"> </w:t>
      </w:r>
      <w:r w:rsidRPr="00451269">
        <w:rPr>
          <w:rFonts w:ascii="Arial" w:hAnsi="Arial" w:cs="David" w:hint="cs"/>
          <w:b/>
          <w:bCs/>
          <w:szCs w:val="24"/>
          <w:u w:val="single"/>
          <w:rtl/>
        </w:rPr>
        <w:t>מימון</w:t>
      </w:r>
      <w:r w:rsidRPr="00451269">
        <w:rPr>
          <w:rFonts w:ascii="Arial" w:hAnsi="Arial" w:cs="David"/>
          <w:b/>
          <w:bCs/>
          <w:szCs w:val="24"/>
          <w:u w:val="single"/>
          <w:rtl/>
        </w:rPr>
        <w:t xml:space="preserve"> </w:t>
      </w:r>
      <w:r w:rsidRPr="00451269">
        <w:rPr>
          <w:rFonts w:ascii="Arial" w:hAnsi="Arial" w:cs="David" w:hint="cs"/>
          <w:b/>
          <w:bCs/>
          <w:szCs w:val="24"/>
          <w:u w:val="single"/>
          <w:rtl/>
        </w:rPr>
        <w:t>לביצוע</w:t>
      </w:r>
      <w:r w:rsidRPr="00451269">
        <w:rPr>
          <w:rFonts w:ascii="Arial" w:hAnsi="Arial" w:cs="David"/>
          <w:b/>
          <w:bCs/>
          <w:szCs w:val="24"/>
          <w:u w:val="single"/>
          <w:rtl/>
        </w:rPr>
        <w:t xml:space="preserve"> </w:t>
      </w:r>
      <w:r w:rsidRPr="00451269">
        <w:rPr>
          <w:rFonts w:ascii="Arial" w:hAnsi="Arial" w:cs="David" w:hint="cs"/>
          <w:b/>
          <w:bCs/>
          <w:szCs w:val="24"/>
          <w:u w:val="single"/>
          <w:rtl/>
        </w:rPr>
        <w:t>הפרויקט</w:t>
      </w:r>
    </w:p>
    <w:p w14:paraId="3C868421" w14:textId="77777777" w:rsidR="00451269" w:rsidRPr="00451269" w:rsidRDefault="00451269" w:rsidP="00451269">
      <w:pPr>
        <w:spacing w:after="0" w:line="360" w:lineRule="auto"/>
        <w:ind w:left="795"/>
        <w:jc w:val="both"/>
        <w:rPr>
          <w:rFonts w:ascii="Arial" w:hAnsi="Arial" w:cs="David"/>
          <w:b/>
          <w:bCs/>
          <w:szCs w:val="24"/>
        </w:rPr>
      </w:pPr>
      <w:r w:rsidRPr="00451269">
        <w:rPr>
          <w:rFonts w:ascii="Arial" w:hAnsi="Arial" w:cs="David" w:hint="cs"/>
          <w:szCs w:val="24"/>
          <w:rtl/>
        </w:rPr>
        <w:t xml:space="preserve">התפיסה המסורתית בדבר ניהול ציבורי של כל שלבי הפרויקט הופכת מורכבת במקרים שבהם נדרשת מומחיות מיוחדת ו/או שימוש בטכנולוגיות ייחודיות ו/או יכולת ו/או ידע לקדם פרויקט מסוג זה. לאור האמור, מבקש המשרד לעודד בחינה של דרכים נוספות לקידום מיזמים שונים לתועלת הציבור כאפשרות נוספת מעבר לחלופת ביצוע הפרויקט באופן עצמאי באמצעות תקצוב מלוא הפרויקט על ידי הרשות המקומית. המפתח המרכזי לבחינת ההתאמה של ביצוע פעילויות באמצעות אחת מהשיטות לשותפות ציבורית-פרטית הינה בחינת כלל הסיכונים האפשריים הנגזרים מביצוע הפעילות והתמודדות עם השאלה מי הגורם שיוכל להתמודד עם הסיכון באופן מיטבי (המגזר הציבורי או המגזר הפרטי). ייתכנו מקרים בהם רשות מקומית ו/או תאגיד עירוני נוטל הלוואה כאשר שימוש בשיטת שותפות ציבורית פרטית עשויה להתאים יותר. לאור האמור, </w:t>
      </w:r>
      <w:r w:rsidRPr="00451269">
        <w:rPr>
          <w:rFonts w:ascii="Arial" w:hAnsi="Arial" w:cs="David" w:hint="cs"/>
          <w:szCs w:val="24"/>
          <w:u w:val="single"/>
          <w:rtl/>
        </w:rPr>
        <w:t>בחינת</w:t>
      </w:r>
      <w:r w:rsidRPr="00451269">
        <w:rPr>
          <w:rFonts w:ascii="Arial" w:hAnsi="Arial" w:cs="David"/>
          <w:szCs w:val="24"/>
          <w:u w:val="single"/>
          <w:rtl/>
        </w:rPr>
        <w:t xml:space="preserve"> נטילת אשראי תבוצע בכפוף לבחינת ההיתכנות לקידום הפעילות באמצעות שותפות ציבורית פרטית.  </w:t>
      </w:r>
    </w:p>
    <w:p w14:paraId="0F87BB8F" w14:textId="77777777" w:rsidR="00451269" w:rsidRPr="00451269" w:rsidRDefault="00451269" w:rsidP="00451269">
      <w:pPr>
        <w:numPr>
          <w:ilvl w:val="1"/>
          <w:numId w:val="1"/>
        </w:numPr>
        <w:spacing w:after="0" w:line="360" w:lineRule="auto"/>
        <w:jc w:val="both"/>
        <w:rPr>
          <w:rFonts w:ascii="Arial" w:hAnsi="Arial" w:cs="David"/>
          <w:b/>
          <w:bCs/>
          <w:szCs w:val="24"/>
          <w:u w:val="single"/>
        </w:rPr>
      </w:pPr>
      <w:r w:rsidRPr="00451269">
        <w:rPr>
          <w:rFonts w:ascii="Arial" w:hAnsi="Arial" w:cs="David" w:hint="cs"/>
          <w:b/>
          <w:bCs/>
          <w:szCs w:val="24"/>
          <w:u w:val="single"/>
          <w:rtl/>
        </w:rPr>
        <w:t>סוגי</w:t>
      </w:r>
      <w:r w:rsidRPr="00451269">
        <w:rPr>
          <w:rFonts w:ascii="Arial" w:hAnsi="Arial" w:cs="David"/>
          <w:b/>
          <w:bCs/>
          <w:szCs w:val="24"/>
          <w:u w:val="single"/>
          <w:rtl/>
        </w:rPr>
        <w:t xml:space="preserve"> פרויקטים בשיטות </w:t>
      </w:r>
      <w:r w:rsidRPr="00451269">
        <w:rPr>
          <w:rFonts w:ascii="Arial" w:hAnsi="Arial" w:cs="David"/>
          <w:b/>
          <w:bCs/>
          <w:szCs w:val="24"/>
          <w:u w:val="single"/>
        </w:rPr>
        <w:t>PPP</w:t>
      </w:r>
    </w:p>
    <w:p w14:paraId="6533210F" w14:textId="77777777" w:rsidR="00451269" w:rsidRPr="00A63D95" w:rsidRDefault="00451269" w:rsidP="00451269">
      <w:pPr>
        <w:numPr>
          <w:ilvl w:val="2"/>
          <w:numId w:val="1"/>
        </w:numPr>
        <w:spacing w:after="0" w:line="360" w:lineRule="auto"/>
        <w:jc w:val="both"/>
        <w:rPr>
          <w:rFonts w:asciiTheme="minorBidi" w:hAnsiTheme="minorBidi" w:cs="David"/>
          <w:sz w:val="24"/>
          <w:szCs w:val="24"/>
        </w:rPr>
      </w:pPr>
      <w:r w:rsidRPr="00A63D95">
        <w:rPr>
          <w:rFonts w:asciiTheme="minorBidi" w:hAnsiTheme="minorBidi" w:cs="David"/>
          <w:sz w:val="24"/>
          <w:szCs w:val="24"/>
        </w:rPr>
        <w:t>PFI</w:t>
      </w:r>
      <w:r w:rsidRPr="00A63D95">
        <w:rPr>
          <w:rFonts w:asciiTheme="minorBidi" w:hAnsiTheme="minorBidi" w:cs="David"/>
          <w:sz w:val="24"/>
          <w:szCs w:val="24"/>
          <w:rtl/>
        </w:rPr>
        <w:t xml:space="preserve"> </w:t>
      </w:r>
      <w:r w:rsidRPr="00A63D95">
        <w:rPr>
          <w:rFonts w:asciiTheme="minorBidi" w:hAnsiTheme="minorBidi" w:cs="David"/>
          <w:sz w:val="24"/>
          <w:szCs w:val="24"/>
        </w:rPr>
        <w:t>(Private Finance Initiative)</w:t>
      </w:r>
      <w:r w:rsidRPr="00A63D95">
        <w:rPr>
          <w:rFonts w:asciiTheme="minorBidi" w:hAnsiTheme="minorBidi" w:cs="David"/>
          <w:sz w:val="24"/>
          <w:szCs w:val="24"/>
          <w:rtl/>
        </w:rPr>
        <w:t>:</w:t>
      </w:r>
      <w:r w:rsidRPr="00A63D95">
        <w:rPr>
          <w:rFonts w:asciiTheme="minorBidi" w:hAnsiTheme="minorBidi" w:cs="David" w:hint="cs"/>
          <w:sz w:val="24"/>
          <w:szCs w:val="24"/>
          <w:rtl/>
        </w:rPr>
        <w:t xml:space="preserve"> הגורם הפרטי מממן, מקים, מתפעל ומתחזק את המתקן בתמורה לדמי שירות של הגורם הציבורי, הכולל החזר הוצאות ההקמה וההוצאות השוטפות של הגורם הפרטי. בדרך כלל התכנון נעשה על ידי הגורם הציבורי ועל הגורם הפרטי לפעול לפי מפרט מוגדר. </w:t>
      </w:r>
      <w:r w:rsidRPr="00A63D95">
        <w:rPr>
          <w:rFonts w:asciiTheme="minorBidi" w:hAnsiTheme="minorBidi" w:cs="David"/>
          <w:sz w:val="24"/>
          <w:szCs w:val="24"/>
          <w:rtl/>
        </w:rPr>
        <w:t xml:space="preserve"> </w:t>
      </w:r>
    </w:p>
    <w:p w14:paraId="75881A8E" w14:textId="77777777" w:rsidR="00451269" w:rsidRPr="00A63D95" w:rsidRDefault="00451269" w:rsidP="00451269">
      <w:pPr>
        <w:numPr>
          <w:ilvl w:val="2"/>
          <w:numId w:val="1"/>
        </w:numPr>
        <w:spacing w:after="0" w:line="360" w:lineRule="auto"/>
        <w:jc w:val="both"/>
        <w:rPr>
          <w:rFonts w:asciiTheme="minorBidi" w:hAnsiTheme="minorBidi" w:cs="David"/>
          <w:sz w:val="24"/>
          <w:szCs w:val="24"/>
        </w:rPr>
      </w:pPr>
      <w:r w:rsidRPr="00A63D95">
        <w:rPr>
          <w:rFonts w:asciiTheme="minorBidi" w:hAnsiTheme="minorBidi" w:cs="David"/>
          <w:sz w:val="24"/>
          <w:szCs w:val="24"/>
        </w:rPr>
        <w:t>BOT</w:t>
      </w:r>
      <w:r w:rsidRPr="00A63D95">
        <w:rPr>
          <w:rFonts w:asciiTheme="minorBidi" w:hAnsiTheme="minorBidi" w:cs="David"/>
          <w:sz w:val="24"/>
          <w:szCs w:val="24"/>
          <w:rtl/>
        </w:rPr>
        <w:t xml:space="preserve"> </w:t>
      </w:r>
      <w:r w:rsidRPr="00A63D95">
        <w:rPr>
          <w:rFonts w:asciiTheme="minorBidi" w:hAnsiTheme="minorBidi" w:cs="David"/>
          <w:sz w:val="24"/>
          <w:szCs w:val="24"/>
        </w:rPr>
        <w:t>:</w:t>
      </w:r>
      <w:proofErr w:type="gramStart"/>
      <w:r w:rsidRPr="00A63D95">
        <w:rPr>
          <w:rFonts w:asciiTheme="minorBidi" w:hAnsiTheme="minorBidi" w:cs="David"/>
          <w:sz w:val="24"/>
          <w:szCs w:val="24"/>
        </w:rPr>
        <w:t>(Build</w:t>
      </w:r>
      <w:proofErr w:type="gramEnd"/>
      <w:r w:rsidRPr="00A63D95">
        <w:rPr>
          <w:rFonts w:asciiTheme="minorBidi" w:hAnsiTheme="minorBidi" w:cs="David"/>
          <w:sz w:val="24"/>
          <w:szCs w:val="24"/>
        </w:rPr>
        <w:t>-Operate-Transfer)</w:t>
      </w:r>
      <w:r w:rsidRPr="00A63D95">
        <w:rPr>
          <w:rFonts w:asciiTheme="minorBidi" w:hAnsiTheme="minorBidi" w:cs="David" w:hint="cs"/>
          <w:sz w:val="24"/>
          <w:szCs w:val="24"/>
          <w:rtl/>
        </w:rPr>
        <w:t xml:space="preserve"> הגורם הפרטי מקים על חשבונו את המתקן ומפעיל אותו כבעל זיכיון לתקופה שנקבעה מראש. בדרך כלל התכנון נעשה על ידי הגורם הציבורי ועל הגורם הפרטי לפעול בהתאם למפרט מוגדר. הזכיין גובה בתמורה תשלום שוטף מהמשתמש הפרטי, אשר כולל החזר הוצאות ההקמה וההוצאות השוטפות. בתום תקופת הזיכיון הבעלות על המתקן מועברת מהזכיין לגורם הציבורי. </w:t>
      </w:r>
    </w:p>
    <w:p w14:paraId="016FBF30" w14:textId="77777777" w:rsidR="00451269" w:rsidRDefault="00451269" w:rsidP="00451269">
      <w:pPr>
        <w:numPr>
          <w:ilvl w:val="2"/>
          <w:numId w:val="1"/>
        </w:numPr>
        <w:spacing w:after="0" w:line="360" w:lineRule="auto"/>
        <w:jc w:val="both"/>
        <w:rPr>
          <w:rFonts w:ascii="Arial" w:hAnsi="Arial" w:cs="David"/>
          <w:szCs w:val="24"/>
        </w:rPr>
      </w:pPr>
      <w:r w:rsidRPr="00A63D95">
        <w:rPr>
          <w:rFonts w:ascii="Arial" w:hAnsi="Arial" w:cs="David" w:hint="cs"/>
          <w:szCs w:val="24"/>
          <w:rtl/>
        </w:rPr>
        <w:t>עסקאות קומבינציה: עסקאות בהן הגורם הציבורי מעמיד לרשות הגורם הפרטי קרקע להקמת המתקן ונותן זיכיון לגורם הפרטי להקים מבנים מניבים (השכרה לגורמים פרטיים) ובנוסף גם מבני ציבור עבור הגורם הציבורי. בדרך כלל לא נדרש הגורם הציבורי לשלם בתמורה להקמת מבני הציבור מעבר לקרקע שהוקצתה על ידו.</w:t>
      </w:r>
    </w:p>
    <w:p w14:paraId="370642D2" w14:textId="77777777" w:rsidR="00451269" w:rsidRPr="00A63D95" w:rsidRDefault="00451269" w:rsidP="00451269">
      <w:pPr>
        <w:numPr>
          <w:ilvl w:val="2"/>
          <w:numId w:val="1"/>
        </w:numPr>
        <w:spacing w:after="0" w:line="360" w:lineRule="auto"/>
        <w:jc w:val="both"/>
        <w:rPr>
          <w:rFonts w:asciiTheme="minorBidi" w:hAnsiTheme="minorBidi" w:cs="David"/>
          <w:sz w:val="24"/>
          <w:szCs w:val="24"/>
        </w:rPr>
      </w:pPr>
      <w:proofErr w:type="gramStart"/>
      <w:r>
        <w:rPr>
          <w:rFonts w:asciiTheme="minorBidi" w:hAnsiTheme="minorBidi" w:cs="David"/>
          <w:sz w:val="24"/>
          <w:szCs w:val="24"/>
        </w:rPr>
        <w:t>D</w:t>
      </w:r>
      <w:r w:rsidRPr="00A63D95">
        <w:rPr>
          <w:rFonts w:asciiTheme="minorBidi" w:hAnsiTheme="minorBidi" w:cs="David"/>
          <w:sz w:val="24"/>
          <w:szCs w:val="24"/>
        </w:rPr>
        <w:t>BOT</w:t>
      </w:r>
      <w:r>
        <w:rPr>
          <w:rFonts w:asciiTheme="minorBidi" w:hAnsiTheme="minorBidi" w:cs="David" w:hint="cs"/>
          <w:sz w:val="24"/>
          <w:szCs w:val="24"/>
          <w:rtl/>
        </w:rPr>
        <w:t xml:space="preserve"> </w:t>
      </w:r>
      <w:r w:rsidRPr="00245BE3">
        <w:rPr>
          <w:rFonts w:asciiTheme="minorBidi" w:hAnsiTheme="minorBidi" w:cs="David"/>
          <w:sz w:val="24"/>
          <w:szCs w:val="24"/>
        </w:rPr>
        <w:t xml:space="preserve"> </w:t>
      </w:r>
      <w:r>
        <w:rPr>
          <w:rFonts w:asciiTheme="minorBidi" w:hAnsiTheme="minorBidi" w:cs="David"/>
          <w:sz w:val="24"/>
          <w:szCs w:val="24"/>
        </w:rPr>
        <w:t>:</w:t>
      </w:r>
      <w:proofErr w:type="gramEnd"/>
      <w:r>
        <w:rPr>
          <w:rFonts w:asciiTheme="minorBidi" w:hAnsiTheme="minorBidi" w:cs="David"/>
          <w:sz w:val="24"/>
          <w:szCs w:val="24"/>
        </w:rPr>
        <w:t>(</w:t>
      </w:r>
      <w:r w:rsidRPr="00A63D95">
        <w:rPr>
          <w:rFonts w:asciiTheme="minorBidi" w:hAnsiTheme="minorBidi" w:cs="David"/>
          <w:sz w:val="24"/>
          <w:szCs w:val="24"/>
        </w:rPr>
        <w:t>Design-Build-Operate-Transfer)</w:t>
      </w:r>
      <w:r w:rsidRPr="00A63D95">
        <w:rPr>
          <w:rFonts w:asciiTheme="minorBidi" w:hAnsiTheme="minorBidi" w:cs="David" w:hint="cs"/>
          <w:sz w:val="24"/>
          <w:szCs w:val="24"/>
          <w:rtl/>
        </w:rPr>
        <w:t>הגורם הפרטי אחר</w:t>
      </w:r>
      <w:r>
        <w:rPr>
          <w:rFonts w:asciiTheme="minorBidi" w:hAnsiTheme="minorBidi" w:cs="David" w:hint="cs"/>
          <w:sz w:val="24"/>
          <w:szCs w:val="24"/>
          <w:rtl/>
        </w:rPr>
        <w:t xml:space="preserve">אי לתכנון ולאישורים הסטטוטוריים וכן </w:t>
      </w:r>
      <w:r w:rsidRPr="00A63D95">
        <w:rPr>
          <w:rFonts w:asciiTheme="minorBidi" w:hAnsiTheme="minorBidi" w:cs="David" w:hint="cs"/>
          <w:sz w:val="24"/>
          <w:szCs w:val="24"/>
          <w:rtl/>
        </w:rPr>
        <w:t xml:space="preserve">מקים על חשבונו את המתקן ומפעיל אותו כבעל זיכיון לתקופה שנקבעה מראש. בדרך כלל התכנון נעשה על ידי הגורם הציבורי ועל הגורם הפרטי לפעול בהתאם למפרט מוגדר. הזכיין גובה בתמורה תשלום שוטף מהמשתמש הפרטי, אשר כולל החזר הוצאות ההקמה וההוצאות השוטפות. בתום תקופת הזיכיון הבעלות על המתקן מועברת מהזכיין לגורם הציבורי. </w:t>
      </w:r>
    </w:p>
    <w:p w14:paraId="063E367B" w14:textId="77777777" w:rsidR="00451269" w:rsidRPr="00A63D95" w:rsidRDefault="00451269" w:rsidP="00451269">
      <w:pPr>
        <w:numPr>
          <w:ilvl w:val="2"/>
          <w:numId w:val="1"/>
        </w:numPr>
        <w:spacing w:after="0" w:line="360" w:lineRule="auto"/>
        <w:jc w:val="both"/>
        <w:rPr>
          <w:rFonts w:ascii="Arial" w:hAnsi="Arial" w:cs="David"/>
          <w:szCs w:val="24"/>
          <w:rtl/>
        </w:rPr>
      </w:pPr>
      <w:r w:rsidRPr="00A63D95">
        <w:rPr>
          <w:rFonts w:ascii="Arial" w:hAnsi="Arial" w:cs="David" w:hint="cs"/>
          <w:szCs w:val="24"/>
          <w:rtl/>
        </w:rPr>
        <w:lastRenderedPageBreak/>
        <w:t xml:space="preserve">ייתכנו שיטות נוספות המשלבות את פונקציות התכנון, ההקמה, המימון, התפעול, התחזוקה וכן את צורת החזר ההון וההוצאות השוטפות לזכיין, בצירופים שונים. </w:t>
      </w:r>
    </w:p>
    <w:p w14:paraId="43F00673" w14:textId="4A3F59CD" w:rsidR="00451269" w:rsidRPr="00451269" w:rsidRDefault="00E85306" w:rsidP="00451269">
      <w:pPr>
        <w:numPr>
          <w:ilvl w:val="1"/>
          <w:numId w:val="1"/>
        </w:numPr>
        <w:spacing w:after="0" w:line="360" w:lineRule="auto"/>
        <w:jc w:val="both"/>
        <w:rPr>
          <w:rFonts w:ascii="Arial" w:hAnsi="Arial" w:cs="David"/>
          <w:szCs w:val="24"/>
        </w:rPr>
      </w:pPr>
      <w:r w:rsidRPr="00B118DE">
        <w:rPr>
          <w:rFonts w:cs="David" w:hint="cs"/>
          <w:b/>
          <w:bCs/>
          <w:sz w:val="26"/>
          <w:szCs w:val="26"/>
          <w:u w:val="single"/>
          <w:rtl/>
        </w:rPr>
        <w:t>נהלים</w:t>
      </w:r>
      <w:r w:rsidRPr="00B118DE">
        <w:rPr>
          <w:rFonts w:cs="David"/>
          <w:b/>
          <w:bCs/>
          <w:sz w:val="26"/>
          <w:szCs w:val="26"/>
          <w:u w:val="single"/>
          <w:rtl/>
        </w:rPr>
        <w:t xml:space="preserve"> </w:t>
      </w:r>
      <w:r w:rsidR="00451269">
        <w:rPr>
          <w:rFonts w:cs="David" w:hint="cs"/>
          <w:b/>
          <w:bCs/>
          <w:sz w:val="26"/>
          <w:szCs w:val="26"/>
          <w:u w:val="single"/>
          <w:rtl/>
        </w:rPr>
        <w:t>בהתייחס</w:t>
      </w:r>
      <w:r w:rsidRPr="00B118DE">
        <w:rPr>
          <w:rFonts w:cs="David"/>
          <w:b/>
          <w:bCs/>
          <w:sz w:val="26"/>
          <w:szCs w:val="26"/>
          <w:u w:val="single"/>
          <w:rtl/>
        </w:rPr>
        <w:t xml:space="preserve"> </w:t>
      </w:r>
      <w:r w:rsidRPr="00B118DE">
        <w:rPr>
          <w:rFonts w:cs="David" w:hint="cs"/>
          <w:b/>
          <w:bCs/>
          <w:sz w:val="26"/>
          <w:szCs w:val="26"/>
          <w:u w:val="single"/>
          <w:rtl/>
        </w:rPr>
        <w:t>ל</w:t>
      </w:r>
      <w:r w:rsidR="00451269">
        <w:rPr>
          <w:rFonts w:cs="David" w:hint="cs"/>
          <w:b/>
          <w:bCs/>
          <w:sz w:val="26"/>
          <w:szCs w:val="26"/>
          <w:u w:val="single"/>
          <w:rtl/>
        </w:rPr>
        <w:t>כלל הרשויות המקומיות</w:t>
      </w:r>
    </w:p>
    <w:p w14:paraId="10891504" w14:textId="77777777" w:rsidR="00451269" w:rsidRPr="008839D7" w:rsidRDefault="00451269" w:rsidP="00451269">
      <w:pPr>
        <w:pStyle w:val="a3"/>
        <w:numPr>
          <w:ilvl w:val="2"/>
          <w:numId w:val="1"/>
        </w:numPr>
        <w:rPr>
          <w:rFonts w:ascii="Arial" w:hAnsi="Arial"/>
          <w:sz w:val="20"/>
          <w:rtl/>
        </w:rPr>
      </w:pPr>
      <w:r w:rsidRPr="008839D7">
        <w:rPr>
          <w:rFonts w:ascii="Arial" w:hAnsi="Arial"/>
          <w:sz w:val="20"/>
          <w:rtl/>
        </w:rPr>
        <w:t xml:space="preserve">פרסום מקדמי אודות עשייה במקרקעין עוד לפני אישור המועצה: </w:t>
      </w:r>
      <w:r>
        <w:rPr>
          <w:rFonts w:ascii="Arial" w:hAnsi="Arial" w:hint="cs"/>
          <w:sz w:val="20"/>
          <w:rtl/>
        </w:rPr>
        <w:t xml:space="preserve">רשות מקומית תחויב לפרסם </w:t>
      </w:r>
      <w:r w:rsidRPr="008839D7">
        <w:rPr>
          <w:rFonts w:ascii="Arial" w:hAnsi="Arial"/>
          <w:sz w:val="20"/>
          <w:rtl/>
        </w:rPr>
        <w:t>באתר האינטרנט שלה</w:t>
      </w:r>
      <w:r>
        <w:rPr>
          <w:rFonts w:ascii="Arial" w:hAnsi="Arial" w:hint="cs"/>
          <w:sz w:val="20"/>
          <w:rtl/>
        </w:rPr>
        <w:t>ם</w:t>
      </w:r>
      <w:r w:rsidRPr="008839D7">
        <w:rPr>
          <w:rFonts w:ascii="Arial" w:hAnsi="Arial"/>
          <w:sz w:val="20"/>
          <w:rtl/>
        </w:rPr>
        <w:t xml:space="preserve"> הצעה להחלטה על אישור </w:t>
      </w:r>
      <w:r>
        <w:rPr>
          <w:rFonts w:ascii="Arial" w:hAnsi="Arial"/>
          <w:sz w:val="20"/>
          <w:rtl/>
        </w:rPr>
        <w:t>עשייה במקרקעין</w:t>
      </w:r>
      <w:r>
        <w:rPr>
          <w:rFonts w:ascii="Arial" w:hAnsi="Arial" w:hint="cs"/>
          <w:sz w:val="20"/>
          <w:rtl/>
        </w:rPr>
        <w:t xml:space="preserve"> </w:t>
      </w:r>
      <w:r w:rsidRPr="008839D7">
        <w:rPr>
          <w:rFonts w:ascii="Arial" w:hAnsi="Arial"/>
          <w:sz w:val="20"/>
          <w:rtl/>
        </w:rPr>
        <w:t>עשרה ימים לפחות לפני ישיבת המועצה שבה יידון אישור העשייה במקרקעין כאמור; השר רשאי לקבוע הוראו</w:t>
      </w:r>
      <w:r>
        <w:rPr>
          <w:rFonts w:ascii="Arial" w:hAnsi="Arial"/>
          <w:sz w:val="20"/>
          <w:rtl/>
        </w:rPr>
        <w:t>ת לעניין פרסום הצעת החלטה</w:t>
      </w:r>
      <w:r w:rsidRPr="008839D7">
        <w:rPr>
          <w:rFonts w:ascii="Arial" w:hAnsi="Arial"/>
          <w:sz w:val="20"/>
          <w:rtl/>
        </w:rPr>
        <w:t xml:space="preserve">. </w:t>
      </w:r>
    </w:p>
    <w:p w14:paraId="75F7ED40" w14:textId="77777777" w:rsidR="00451269" w:rsidRDefault="00451269" w:rsidP="00451269">
      <w:pPr>
        <w:pStyle w:val="a3"/>
        <w:numPr>
          <w:ilvl w:val="2"/>
          <w:numId w:val="1"/>
        </w:numPr>
        <w:rPr>
          <w:rFonts w:ascii="Arial" w:hAnsi="Arial"/>
          <w:sz w:val="20"/>
        </w:rPr>
      </w:pPr>
      <w:r>
        <w:rPr>
          <w:rFonts w:ascii="Arial" w:hAnsi="Arial" w:hint="cs"/>
          <w:sz w:val="20"/>
          <w:rtl/>
        </w:rPr>
        <w:t>פרסום החלטות בעניין עשייה במקרקעין לרבות עסקאות במתכונת שותפות ציבורית-פרטית</w:t>
      </w:r>
      <w:r w:rsidRPr="006355CF">
        <w:rPr>
          <w:rFonts w:ascii="Arial" w:hAnsi="Arial"/>
          <w:sz w:val="20"/>
          <w:rtl/>
        </w:rPr>
        <w:t>: סעיף 248ב לפקודה מחייב כל עירייה להקים ולהפעיל אתר אינטרנט נגיש לציבור ללא תשלום, שבו עליה לפרסם, בין השאר, מידע שעליה לפרסם לפי דין (ברשומות או בעיתון) וכן מידע בנוגע אליה ששר הפנים פרסם (ברשומות או בעיתון) בהתאם להודעתה. עוד נדרשת עירייה לפרסם באתר כאמור פרוטוקולים של ישיבות המועצה בדלתיים פתוחות, לא יאוחר משני ימי עבודה מיום אישורם במועצה, והקלטות או תמלילים של ישיבות כאמור. מכוח סעיף 13</w:t>
      </w:r>
      <w:r>
        <w:rPr>
          <w:rFonts w:ascii="Arial" w:hAnsi="Arial" w:hint="cs"/>
          <w:sz w:val="20"/>
          <w:rtl/>
        </w:rPr>
        <w:t xml:space="preserve"> </w:t>
      </w:r>
      <w:r>
        <w:rPr>
          <w:rFonts w:ascii="Arial" w:hAnsi="Arial"/>
          <w:sz w:val="20"/>
          <w:rtl/>
        </w:rPr>
        <w:t>ו</w:t>
      </w:r>
      <w:r w:rsidRPr="006355CF">
        <w:rPr>
          <w:rFonts w:ascii="Arial" w:hAnsi="Arial"/>
          <w:sz w:val="20"/>
          <w:rtl/>
        </w:rPr>
        <w:t xml:space="preserve">לפקודת המועצות המקומיות, הוחלה חובה זו גם על מועצות מקומיות ובכללן מועצות אזוריות. </w:t>
      </w:r>
      <w:bookmarkStart w:id="1" w:name="Start"/>
      <w:bookmarkEnd w:id="1"/>
    </w:p>
    <w:p w14:paraId="55AA1184" w14:textId="67D72792" w:rsidR="00E85306" w:rsidRDefault="00451269" w:rsidP="00E85306">
      <w:pPr>
        <w:numPr>
          <w:ilvl w:val="1"/>
          <w:numId w:val="1"/>
        </w:numPr>
        <w:spacing w:after="0" w:line="360" w:lineRule="auto"/>
        <w:jc w:val="both"/>
        <w:rPr>
          <w:rFonts w:ascii="Arial" w:hAnsi="Arial" w:cs="David"/>
          <w:szCs w:val="24"/>
        </w:rPr>
      </w:pPr>
      <w:r>
        <w:rPr>
          <w:rFonts w:cs="David" w:hint="cs"/>
          <w:b/>
          <w:bCs/>
          <w:sz w:val="26"/>
          <w:szCs w:val="26"/>
          <w:u w:val="single"/>
          <w:rtl/>
        </w:rPr>
        <w:t>נהלים בהתייחס ל</w:t>
      </w:r>
      <w:r w:rsidR="00E85306" w:rsidRPr="00B118DE">
        <w:rPr>
          <w:rFonts w:cs="David" w:hint="cs"/>
          <w:b/>
          <w:bCs/>
          <w:sz w:val="26"/>
          <w:szCs w:val="26"/>
          <w:u w:val="single"/>
          <w:rtl/>
        </w:rPr>
        <w:t>רשויות</w:t>
      </w:r>
      <w:r w:rsidR="00E85306" w:rsidRPr="00B118DE">
        <w:rPr>
          <w:rFonts w:cs="David"/>
          <w:b/>
          <w:bCs/>
          <w:sz w:val="26"/>
          <w:szCs w:val="26"/>
          <w:u w:val="single"/>
          <w:rtl/>
        </w:rPr>
        <w:t xml:space="preserve"> </w:t>
      </w:r>
      <w:r w:rsidR="00E85306" w:rsidRPr="00B118DE">
        <w:rPr>
          <w:rFonts w:cs="David" w:hint="cs"/>
          <w:b/>
          <w:bCs/>
          <w:sz w:val="26"/>
          <w:szCs w:val="26"/>
          <w:u w:val="single"/>
          <w:rtl/>
        </w:rPr>
        <w:t>איתנות</w:t>
      </w:r>
    </w:p>
    <w:p w14:paraId="2C79A88C" w14:textId="56CA3937" w:rsidR="001C75AF" w:rsidRDefault="00E85306" w:rsidP="00B118DE">
      <w:pPr>
        <w:spacing w:after="0" w:line="360" w:lineRule="auto"/>
        <w:ind w:left="795"/>
        <w:jc w:val="both"/>
        <w:rPr>
          <w:rFonts w:ascii="Arial" w:hAnsi="Arial" w:cs="David"/>
          <w:szCs w:val="24"/>
          <w:rtl/>
        </w:rPr>
      </w:pPr>
      <w:r>
        <w:rPr>
          <w:rFonts w:ascii="Arial" w:hAnsi="Arial" w:cs="David" w:hint="cs"/>
          <w:szCs w:val="24"/>
          <w:rtl/>
        </w:rPr>
        <w:t>ה</w:t>
      </w:r>
      <w:r w:rsidR="005D56FE" w:rsidRPr="008839D7">
        <w:rPr>
          <w:rFonts w:ascii="Arial" w:hAnsi="Arial" w:cs="David" w:hint="cs"/>
          <w:szCs w:val="24"/>
          <w:rtl/>
        </w:rPr>
        <w:t>תקשרות של רשות מקומית שהוכרזה איתנה על ידי שר הפנים או של תאגיד עירוני שסווג ככזה על ידי אגף בכיר לתאגידים עירוניים</w:t>
      </w:r>
      <w:r w:rsidR="005D56FE">
        <w:rPr>
          <w:rFonts w:ascii="Arial" w:hAnsi="Arial" w:cs="David" w:hint="cs"/>
          <w:szCs w:val="24"/>
          <w:rtl/>
        </w:rPr>
        <w:t xml:space="preserve"> </w:t>
      </w:r>
      <w:r w:rsidR="001C75AF">
        <w:rPr>
          <w:rFonts w:ascii="Arial" w:hAnsi="Arial" w:cs="David" w:hint="cs"/>
          <w:szCs w:val="24"/>
          <w:rtl/>
        </w:rPr>
        <w:t>יקבלו פטור מהצורך בקבלת אישור מקדמי</w:t>
      </w:r>
      <w:r w:rsidR="00451269">
        <w:rPr>
          <w:rFonts w:ascii="Arial" w:hAnsi="Arial" w:cs="David" w:hint="cs"/>
          <w:szCs w:val="24"/>
          <w:rtl/>
        </w:rPr>
        <w:t xml:space="preserve"> (סעיפים 1-7 בטבלה מטה)</w:t>
      </w:r>
      <w:r w:rsidR="001C75AF">
        <w:rPr>
          <w:rFonts w:ascii="Arial" w:hAnsi="Arial" w:cs="David" w:hint="cs"/>
          <w:szCs w:val="24"/>
          <w:rtl/>
        </w:rPr>
        <w:t xml:space="preserve">. </w:t>
      </w:r>
    </w:p>
    <w:p w14:paraId="0B2DE4A5" w14:textId="6AE25E68" w:rsidR="00451269" w:rsidRPr="00F909E4" w:rsidRDefault="00451269" w:rsidP="00F909E4">
      <w:pPr>
        <w:numPr>
          <w:ilvl w:val="1"/>
          <w:numId w:val="1"/>
        </w:numPr>
        <w:spacing w:after="0" w:line="360" w:lineRule="auto"/>
        <w:jc w:val="both"/>
        <w:rPr>
          <w:rFonts w:ascii="Arial" w:hAnsi="Arial" w:cs="David"/>
          <w:szCs w:val="24"/>
          <w:rtl/>
        </w:rPr>
      </w:pPr>
      <w:r>
        <w:rPr>
          <w:rFonts w:cs="David" w:hint="cs"/>
          <w:b/>
          <w:bCs/>
          <w:sz w:val="26"/>
          <w:szCs w:val="26"/>
          <w:u w:val="single"/>
          <w:rtl/>
        </w:rPr>
        <w:t>נהלים בהתייחס ל</w:t>
      </w:r>
      <w:r w:rsidRPr="00B118DE">
        <w:rPr>
          <w:rFonts w:cs="David" w:hint="cs"/>
          <w:b/>
          <w:bCs/>
          <w:sz w:val="26"/>
          <w:szCs w:val="26"/>
          <w:u w:val="single"/>
          <w:rtl/>
        </w:rPr>
        <w:t>רשויות</w:t>
      </w:r>
      <w:r w:rsidRPr="00B118DE">
        <w:rPr>
          <w:rFonts w:cs="David"/>
          <w:b/>
          <w:bCs/>
          <w:sz w:val="26"/>
          <w:szCs w:val="26"/>
          <w:u w:val="single"/>
          <w:rtl/>
        </w:rPr>
        <w:t xml:space="preserve"> </w:t>
      </w:r>
      <w:r>
        <w:rPr>
          <w:rFonts w:cs="David" w:hint="cs"/>
          <w:b/>
          <w:bCs/>
          <w:sz w:val="26"/>
          <w:szCs w:val="26"/>
          <w:u w:val="single"/>
          <w:rtl/>
        </w:rPr>
        <w:t>שלא הוכרזו כ</w:t>
      </w:r>
      <w:r w:rsidRPr="00B118DE">
        <w:rPr>
          <w:rFonts w:cs="David" w:hint="cs"/>
          <w:b/>
          <w:bCs/>
          <w:sz w:val="26"/>
          <w:szCs w:val="26"/>
          <w:u w:val="single"/>
          <w:rtl/>
        </w:rPr>
        <w:t>איתנות</w:t>
      </w:r>
    </w:p>
    <w:p w14:paraId="13FCE1DC" w14:textId="36E80145" w:rsidR="005D56FE" w:rsidRPr="00F909E4" w:rsidRDefault="00F909E4" w:rsidP="00F909E4">
      <w:pPr>
        <w:numPr>
          <w:ilvl w:val="2"/>
          <w:numId w:val="1"/>
        </w:numPr>
        <w:spacing w:after="0" w:line="360" w:lineRule="auto"/>
        <w:jc w:val="both"/>
        <w:rPr>
          <w:rFonts w:cs="David"/>
          <w:b/>
          <w:bCs/>
          <w:sz w:val="24"/>
          <w:szCs w:val="24"/>
          <w:rtl/>
        </w:rPr>
      </w:pPr>
      <w:r w:rsidRPr="00F909E4">
        <w:rPr>
          <w:rFonts w:cs="David" w:hint="cs"/>
          <w:b/>
          <w:bCs/>
          <w:sz w:val="24"/>
          <w:szCs w:val="24"/>
          <w:rtl/>
        </w:rPr>
        <w:t>מסמכים נדרשים לשלב מתן האישור המקדמי (סעיפים 1-7 בטבלה מטה):</w:t>
      </w:r>
    </w:p>
    <w:p w14:paraId="5DFD1980" w14:textId="2C953E73" w:rsidR="00F909E4" w:rsidRDefault="00F909E4" w:rsidP="00F909E4">
      <w:pPr>
        <w:numPr>
          <w:ilvl w:val="3"/>
          <w:numId w:val="1"/>
        </w:numPr>
        <w:spacing w:after="0" w:line="360" w:lineRule="auto"/>
        <w:jc w:val="both"/>
        <w:rPr>
          <w:rFonts w:cs="David"/>
          <w:sz w:val="24"/>
          <w:szCs w:val="24"/>
        </w:rPr>
      </w:pPr>
      <w:r w:rsidRPr="00A71F56">
        <w:rPr>
          <w:rFonts w:cs="David" w:hint="cs"/>
          <w:b/>
          <w:bCs/>
          <w:sz w:val="24"/>
          <w:szCs w:val="24"/>
          <w:rtl/>
        </w:rPr>
        <w:t>היתכנות תכנונית</w:t>
      </w:r>
      <w:r>
        <w:rPr>
          <w:rFonts w:cs="David" w:hint="cs"/>
          <w:b/>
          <w:bCs/>
          <w:sz w:val="24"/>
          <w:szCs w:val="24"/>
          <w:rtl/>
        </w:rPr>
        <w:t xml:space="preserve"> (סעיף 1 בטבלה מטה)</w:t>
      </w:r>
      <w:r w:rsidRPr="00A71F56">
        <w:rPr>
          <w:rFonts w:cs="David" w:hint="cs"/>
          <w:b/>
          <w:bCs/>
          <w:sz w:val="24"/>
          <w:szCs w:val="24"/>
          <w:rtl/>
        </w:rPr>
        <w:t>:</w:t>
      </w:r>
      <w:r>
        <w:rPr>
          <w:rFonts w:cs="David" w:hint="cs"/>
          <w:sz w:val="24"/>
          <w:szCs w:val="24"/>
          <w:rtl/>
        </w:rPr>
        <w:t xml:space="preserve"> </w:t>
      </w:r>
      <w:r w:rsidRPr="00A71F56">
        <w:rPr>
          <w:rFonts w:cs="David" w:hint="cs"/>
          <w:sz w:val="24"/>
          <w:szCs w:val="24"/>
          <w:rtl/>
        </w:rPr>
        <w:t xml:space="preserve">על הרשות המקומית </w:t>
      </w:r>
      <w:r>
        <w:rPr>
          <w:rFonts w:cs="David" w:hint="cs"/>
          <w:sz w:val="24"/>
          <w:szCs w:val="24"/>
          <w:rtl/>
        </w:rPr>
        <w:t xml:space="preserve">ו/או התאגיד העירוני </w:t>
      </w:r>
      <w:r w:rsidRPr="00A71F56">
        <w:rPr>
          <w:rFonts w:cs="David" w:hint="cs"/>
          <w:sz w:val="24"/>
          <w:szCs w:val="24"/>
          <w:rtl/>
        </w:rPr>
        <w:t>להמציא עמדת רשות התכנון שקיימת התאמה תכנונית בין התכנית החלה על השטח לבין הפרויקט המוצע.</w:t>
      </w:r>
    </w:p>
    <w:p w14:paraId="74898223" w14:textId="2A993FD7" w:rsidR="00F909E4" w:rsidRPr="00F909E4" w:rsidRDefault="00F909E4" w:rsidP="00F909E4">
      <w:pPr>
        <w:numPr>
          <w:ilvl w:val="3"/>
          <w:numId w:val="1"/>
        </w:numPr>
        <w:spacing w:after="0" w:line="360" w:lineRule="auto"/>
        <w:jc w:val="both"/>
        <w:rPr>
          <w:rFonts w:cs="David"/>
          <w:sz w:val="24"/>
          <w:szCs w:val="24"/>
        </w:rPr>
      </w:pPr>
      <w:r>
        <w:rPr>
          <w:rFonts w:cs="David" w:hint="cs"/>
          <w:b/>
          <w:bCs/>
          <w:sz w:val="24"/>
          <w:szCs w:val="24"/>
          <w:rtl/>
        </w:rPr>
        <w:t>נסח רישום או מסמך אחר המעיד על בעלות הרשות המקומית בנכס (סעיף 2 בטבלה מטה):</w:t>
      </w:r>
      <w:r>
        <w:rPr>
          <w:rFonts w:cs="David" w:hint="cs"/>
          <w:sz w:val="24"/>
          <w:szCs w:val="24"/>
          <w:rtl/>
        </w:rPr>
        <w:t xml:space="preserve"> על הרשות המקומית ו/או התאגיד העירוני להמציא אסמכתאות לבעלות על הקרקע.</w:t>
      </w:r>
    </w:p>
    <w:p w14:paraId="677172BC" w14:textId="20D32458" w:rsidR="005D56FE" w:rsidRPr="007B3E65" w:rsidRDefault="005D56FE" w:rsidP="00F909E4">
      <w:pPr>
        <w:numPr>
          <w:ilvl w:val="3"/>
          <w:numId w:val="1"/>
        </w:numPr>
        <w:spacing w:after="0" w:line="360" w:lineRule="auto"/>
        <w:jc w:val="both"/>
        <w:rPr>
          <w:rFonts w:cs="David"/>
          <w:sz w:val="24"/>
          <w:szCs w:val="24"/>
        </w:rPr>
      </w:pPr>
      <w:r w:rsidRPr="007B3E65">
        <w:rPr>
          <w:rFonts w:cs="David" w:hint="cs"/>
          <w:b/>
          <w:bCs/>
          <w:sz w:val="24"/>
          <w:szCs w:val="24"/>
          <w:rtl/>
        </w:rPr>
        <w:t>חובת בחינת חלופות</w:t>
      </w:r>
      <w:r w:rsidR="00F909E4">
        <w:rPr>
          <w:rFonts w:cs="David" w:hint="cs"/>
          <w:b/>
          <w:bCs/>
          <w:sz w:val="24"/>
          <w:szCs w:val="24"/>
          <w:rtl/>
        </w:rPr>
        <w:t xml:space="preserve"> (סעיף 3 בטבלה מטה)</w:t>
      </w:r>
      <w:r w:rsidRPr="007B3E65">
        <w:rPr>
          <w:rFonts w:cs="David" w:hint="cs"/>
          <w:b/>
          <w:bCs/>
          <w:sz w:val="24"/>
          <w:szCs w:val="24"/>
          <w:rtl/>
        </w:rPr>
        <w:t xml:space="preserve">: </w:t>
      </w:r>
      <w:r w:rsidRPr="007B3E65">
        <w:rPr>
          <w:rFonts w:cs="David" w:hint="cs"/>
          <w:sz w:val="24"/>
          <w:szCs w:val="24"/>
          <w:rtl/>
        </w:rPr>
        <w:t>למרות מגוון הפרויקטים בשיטת שותפות ציבורית-פרטית עדיין השיטה המקובלת להקמה ותפעול של מתקנים ציבוריים בתחום הרשויות המקומיות היא: תכנון וקבלת אישורים סטטוטוריים על ידי הרשות המקומית</w:t>
      </w:r>
      <w:r>
        <w:rPr>
          <w:rFonts w:cs="David" w:hint="cs"/>
          <w:sz w:val="24"/>
          <w:szCs w:val="24"/>
          <w:rtl/>
        </w:rPr>
        <w:t xml:space="preserve"> ו/או התאגיד העירוני</w:t>
      </w:r>
      <w:r w:rsidRPr="007B3E65">
        <w:rPr>
          <w:rFonts w:cs="David" w:hint="cs"/>
          <w:sz w:val="24"/>
          <w:szCs w:val="24"/>
          <w:rtl/>
        </w:rPr>
        <w:t xml:space="preserve">, מכרז להקמת המתקן בהתאם למפרט (שיטת </w:t>
      </w:r>
      <w:r w:rsidRPr="007B3E65">
        <w:rPr>
          <w:rFonts w:cs="David"/>
          <w:sz w:val="24"/>
          <w:szCs w:val="24"/>
        </w:rPr>
        <w:t>Turn Key</w:t>
      </w:r>
      <w:r w:rsidRPr="007B3E65">
        <w:rPr>
          <w:rFonts w:cs="David" w:hint="cs"/>
          <w:sz w:val="24"/>
          <w:szCs w:val="24"/>
          <w:rtl/>
        </w:rPr>
        <w:t>) והפעלה עצמית על ידי הרשות המקומית או קבלן הפעלה לתקופה מוגדרת מראש. על רשות מקומית, העומדת בפני ביצוע מיזם שניתן לשתף בו גורם פרטי, לבחון את החלופות השונות להקמה, תפעול ותחזוקה כאשר החלופות יכללו את שיטת ההקמה המקובלת וכן מגוון שיטות השותפות הציבורית-</w:t>
      </w:r>
      <w:r w:rsidR="00F909E4">
        <w:rPr>
          <w:rFonts w:cs="David" w:hint="cs"/>
          <w:sz w:val="24"/>
          <w:szCs w:val="24"/>
          <w:rtl/>
        </w:rPr>
        <w:lastRenderedPageBreak/>
        <w:t xml:space="preserve">פרטית שפורטו בסעיף </w:t>
      </w:r>
      <w:r w:rsidRPr="007B3E65">
        <w:rPr>
          <w:rFonts w:cs="David" w:hint="cs"/>
          <w:sz w:val="24"/>
          <w:szCs w:val="24"/>
          <w:rtl/>
        </w:rPr>
        <w:t>לעיל. השוואת החלופ</w:t>
      </w:r>
      <w:r w:rsidR="00F909E4">
        <w:rPr>
          <w:rFonts w:cs="David" w:hint="cs"/>
          <w:sz w:val="24"/>
          <w:szCs w:val="24"/>
          <w:rtl/>
        </w:rPr>
        <w:t>ות תכלול התייחסות לסעיפים 4-7 בטבלה מטה).</w:t>
      </w:r>
    </w:p>
    <w:p w14:paraId="064B90E2" w14:textId="3EFDC14F" w:rsidR="005D56FE" w:rsidRDefault="005D56FE" w:rsidP="00F909E4">
      <w:pPr>
        <w:numPr>
          <w:ilvl w:val="3"/>
          <w:numId w:val="1"/>
        </w:numPr>
        <w:spacing w:after="0" w:line="360" w:lineRule="auto"/>
        <w:jc w:val="both"/>
        <w:rPr>
          <w:rFonts w:cs="David"/>
          <w:sz w:val="24"/>
          <w:szCs w:val="24"/>
        </w:rPr>
      </w:pPr>
      <w:r w:rsidRPr="007B3E65">
        <w:rPr>
          <w:rFonts w:cs="David" w:hint="cs"/>
          <w:b/>
          <w:bCs/>
          <w:sz w:val="24"/>
          <w:szCs w:val="24"/>
          <w:rtl/>
        </w:rPr>
        <w:t>כדאיות כלכלית</w:t>
      </w:r>
      <w:r w:rsidR="00F909E4">
        <w:rPr>
          <w:rFonts w:cs="David" w:hint="cs"/>
          <w:b/>
          <w:bCs/>
          <w:sz w:val="24"/>
          <w:szCs w:val="24"/>
          <w:rtl/>
        </w:rPr>
        <w:t xml:space="preserve"> (סעיף 4 בטבלה מטה)</w:t>
      </w:r>
      <w:r w:rsidRPr="007B3E65">
        <w:rPr>
          <w:rFonts w:cs="David" w:hint="cs"/>
          <w:b/>
          <w:bCs/>
          <w:sz w:val="24"/>
          <w:szCs w:val="24"/>
          <w:rtl/>
        </w:rPr>
        <w:t>:</w:t>
      </w:r>
      <w:r w:rsidRPr="007B3E65">
        <w:rPr>
          <w:rFonts w:cs="David" w:hint="cs"/>
          <w:sz w:val="24"/>
          <w:szCs w:val="24"/>
          <w:rtl/>
        </w:rPr>
        <w:t xml:space="preserve"> יש לבחון את הכדאיות הכלכלית של כל אחת מהחלופות (לרבות החלופה המסורתית). במסגרת בחינה זו יש לציין מה אומדן העלות ליישום בכל אחת מהשיטות ומה אומדן התועלות (כימות של התועלת לערכים כספיים). אומדן עלויות ההקמה, אומדן עלות התפעול ותחזוקה השנתי, אומדן הכנסות שנתי, יצירת תזרים נטו של הפרויקט בהתאם לעיתוי ההוצאות והכנסות. על הרשות המקומית להצביע על המקורות הכספיים המיועדים לממן את ההתחייבויות ארוכות הטווח כלפי הזוכה במכרז וכן להציג נתונים כספיים חזויים המהווים תוספת מקורות כספיים אשר אמורים לממן את התוספת להוצאות הרשות המקומית</w:t>
      </w:r>
      <w:r>
        <w:rPr>
          <w:rFonts w:cs="David" w:hint="cs"/>
          <w:sz w:val="24"/>
          <w:szCs w:val="24"/>
          <w:rtl/>
        </w:rPr>
        <w:t xml:space="preserve"> ו/או התאגיד העירוני.</w:t>
      </w:r>
    </w:p>
    <w:p w14:paraId="1C01E7E0" w14:textId="17E2754F" w:rsidR="005D56FE" w:rsidRPr="007B3E65" w:rsidRDefault="005D56FE" w:rsidP="00F909E4">
      <w:pPr>
        <w:numPr>
          <w:ilvl w:val="3"/>
          <w:numId w:val="1"/>
        </w:numPr>
        <w:spacing w:after="0" w:line="360" w:lineRule="auto"/>
        <w:jc w:val="both"/>
        <w:rPr>
          <w:rFonts w:cs="David"/>
          <w:sz w:val="24"/>
          <w:szCs w:val="24"/>
        </w:rPr>
      </w:pPr>
      <w:r w:rsidRPr="007B3E65">
        <w:rPr>
          <w:rFonts w:cs="David" w:hint="cs"/>
          <w:b/>
          <w:bCs/>
          <w:sz w:val="24"/>
          <w:szCs w:val="24"/>
          <w:rtl/>
        </w:rPr>
        <w:t>תועלות / תמורה</w:t>
      </w:r>
      <w:r w:rsidR="00F909E4">
        <w:rPr>
          <w:rFonts w:cs="David" w:hint="cs"/>
          <w:b/>
          <w:bCs/>
          <w:sz w:val="24"/>
          <w:szCs w:val="24"/>
          <w:rtl/>
        </w:rPr>
        <w:t xml:space="preserve"> (סעיף 5 בטבלה מטה)</w:t>
      </w:r>
      <w:r w:rsidRPr="007B3E65">
        <w:rPr>
          <w:rFonts w:cs="David" w:hint="cs"/>
          <w:b/>
          <w:bCs/>
          <w:sz w:val="24"/>
          <w:szCs w:val="24"/>
          <w:rtl/>
        </w:rPr>
        <w:t>:</w:t>
      </w:r>
      <w:r w:rsidRPr="007B3E65">
        <w:rPr>
          <w:rFonts w:cs="David" w:hint="cs"/>
          <w:sz w:val="24"/>
          <w:szCs w:val="24"/>
          <w:rtl/>
        </w:rPr>
        <w:t xml:space="preserve"> על הרשות המקומית </w:t>
      </w:r>
      <w:r>
        <w:rPr>
          <w:rFonts w:cs="David" w:hint="cs"/>
          <w:sz w:val="24"/>
          <w:szCs w:val="24"/>
          <w:rtl/>
        </w:rPr>
        <w:t xml:space="preserve">ו/או התאגיד העירוני </w:t>
      </w:r>
      <w:r w:rsidRPr="007B3E65">
        <w:rPr>
          <w:rFonts w:cs="David" w:hint="cs"/>
          <w:sz w:val="24"/>
          <w:szCs w:val="24"/>
          <w:rtl/>
        </w:rPr>
        <w:t>להציג את המצב הקיים אל מול ניתוח משווה של התמורה שתגולם במסגרת כל אחת מהחלופות (במונחי שטח ו/או</w:t>
      </w:r>
      <w:r w:rsidRPr="007B3E65">
        <w:rPr>
          <w:rFonts w:hint="cs"/>
          <w:sz w:val="26"/>
          <w:szCs w:val="26"/>
          <w:rtl/>
        </w:rPr>
        <w:t xml:space="preserve"> </w:t>
      </w:r>
      <w:r w:rsidRPr="007B3E65">
        <w:rPr>
          <w:rFonts w:cs="David" w:hint="cs"/>
          <w:sz w:val="24"/>
          <w:szCs w:val="24"/>
          <w:rtl/>
        </w:rPr>
        <w:t>תועלת ציבורית ו/או תמורה כלכלית ו/או חסכון בעלויות קבועות ו/עלויות שוטפות ו/או מימוש זכויות תכנון).</w:t>
      </w:r>
    </w:p>
    <w:p w14:paraId="10293194" w14:textId="065C6FB9" w:rsidR="005D56FE" w:rsidRPr="007B3E65" w:rsidRDefault="005D56FE" w:rsidP="00F909E4">
      <w:pPr>
        <w:numPr>
          <w:ilvl w:val="3"/>
          <w:numId w:val="1"/>
        </w:numPr>
        <w:spacing w:after="0" w:line="360" w:lineRule="auto"/>
        <w:jc w:val="both"/>
        <w:rPr>
          <w:rFonts w:cs="David"/>
          <w:sz w:val="24"/>
          <w:szCs w:val="24"/>
        </w:rPr>
      </w:pPr>
      <w:r w:rsidRPr="007B3E65">
        <w:rPr>
          <w:rFonts w:cs="David" w:hint="cs"/>
          <w:b/>
          <w:bCs/>
          <w:sz w:val="24"/>
          <w:szCs w:val="24"/>
          <w:rtl/>
        </w:rPr>
        <w:t>ניתוח סיכונים</w:t>
      </w:r>
      <w:r w:rsidR="00F909E4">
        <w:rPr>
          <w:rFonts w:cs="David" w:hint="cs"/>
          <w:b/>
          <w:bCs/>
          <w:sz w:val="24"/>
          <w:szCs w:val="24"/>
          <w:rtl/>
        </w:rPr>
        <w:t xml:space="preserve"> (סעיף 6 בטבלה מטה)</w:t>
      </w:r>
      <w:r w:rsidRPr="007B3E65">
        <w:rPr>
          <w:rFonts w:cs="David" w:hint="cs"/>
          <w:b/>
          <w:bCs/>
          <w:sz w:val="24"/>
          <w:szCs w:val="24"/>
          <w:rtl/>
        </w:rPr>
        <w:t>:</w:t>
      </w:r>
      <w:r w:rsidRPr="007B3E65">
        <w:rPr>
          <w:rFonts w:cs="David" w:hint="cs"/>
          <w:sz w:val="24"/>
          <w:szCs w:val="24"/>
          <w:rtl/>
        </w:rPr>
        <w:t xml:space="preserve"> יש לבחון את הסיכונים הגלומים במסגרת כל אחת מהחלופות (לרבות החלופה </w:t>
      </w:r>
      <w:r>
        <w:rPr>
          <w:rFonts w:cs="David" w:hint="cs"/>
          <w:sz w:val="24"/>
          <w:szCs w:val="24"/>
          <w:rtl/>
        </w:rPr>
        <w:t>של תקצוב מלוא הפרויקט באמצעות הגוף הציבורי</w:t>
      </w:r>
      <w:r w:rsidRPr="007B3E65">
        <w:rPr>
          <w:rFonts w:cs="David" w:hint="cs"/>
          <w:sz w:val="24"/>
          <w:szCs w:val="24"/>
          <w:rtl/>
        </w:rPr>
        <w:t xml:space="preserve">). במסגרת בחינה זו יש לבחון את הסיכון בקבלת האישורים הרלוונטיים מגופי התכנון, ביצוע התכנון המפורט של הפרויקט, שינוי בעלויות ההקמה ו/או התפעול ו/או התחזוקה וכן במועד שלאחר החזרת הבעלות לידי הרשות המקומית. כמו כן, יש לבחון את הסיכון לאור המורכבות ההנדסית, הטכנולוגית, היקף ממשקי הפרויקט עם גורמים חיצוניים, התארכות לוח הזמנים של ההקמה, סיכוני ביקוש, ממצאים ארכיאולוגים (ניתוח הסיכון יתבסס על בדיקה מקדמית של שטח הפרויקט), סיכונים פיננסיים וכן סיכונים הנובעים מאירועים שאינם בשליטת הזכיין. </w:t>
      </w:r>
    </w:p>
    <w:p w14:paraId="175FACE5" w14:textId="34ADCD8F" w:rsidR="005D56FE" w:rsidRPr="007B3E65" w:rsidRDefault="005D56FE" w:rsidP="00F909E4">
      <w:pPr>
        <w:numPr>
          <w:ilvl w:val="3"/>
          <w:numId w:val="1"/>
        </w:numPr>
        <w:spacing w:after="0" w:line="360" w:lineRule="auto"/>
        <w:jc w:val="both"/>
        <w:rPr>
          <w:rFonts w:cs="David"/>
          <w:sz w:val="24"/>
          <w:szCs w:val="24"/>
        </w:rPr>
      </w:pPr>
      <w:r w:rsidRPr="007B3E65">
        <w:rPr>
          <w:rFonts w:cs="David" w:hint="cs"/>
          <w:b/>
          <w:bCs/>
          <w:sz w:val="24"/>
          <w:szCs w:val="24"/>
          <w:rtl/>
        </w:rPr>
        <w:t>הצגת חסמים מרכזיים</w:t>
      </w:r>
      <w:r w:rsidR="00F909E4">
        <w:rPr>
          <w:rFonts w:cs="David" w:hint="cs"/>
          <w:b/>
          <w:bCs/>
          <w:sz w:val="24"/>
          <w:szCs w:val="24"/>
          <w:rtl/>
        </w:rPr>
        <w:t xml:space="preserve"> (סעיף 7 בטבלה מטה)</w:t>
      </w:r>
      <w:r w:rsidRPr="007B3E65">
        <w:rPr>
          <w:rFonts w:cs="David" w:hint="cs"/>
          <w:b/>
          <w:bCs/>
          <w:sz w:val="24"/>
          <w:szCs w:val="24"/>
          <w:rtl/>
        </w:rPr>
        <w:t>:</w:t>
      </w:r>
      <w:r w:rsidRPr="007B3E65">
        <w:rPr>
          <w:rFonts w:cs="David" w:hint="cs"/>
          <w:sz w:val="24"/>
          <w:szCs w:val="24"/>
          <w:rtl/>
        </w:rPr>
        <w:t xml:space="preserve"> על הרשות לנמק מדוע בחרה בחלופה אחת על פני החלופות האחרות תוך פירוט של החסמים המרכזיים של כל אחת מהחלופות והערכת יכולות הרשות המקומית להתמודד עם כל אחד מהחסמים.</w:t>
      </w:r>
      <w:bookmarkStart w:id="2" w:name="OtherTo"/>
      <w:bookmarkEnd w:id="2"/>
    </w:p>
    <w:p w14:paraId="4C789486" w14:textId="5089607B" w:rsidR="005D56FE" w:rsidRDefault="007516ED" w:rsidP="00F909E4">
      <w:pPr>
        <w:numPr>
          <w:ilvl w:val="2"/>
          <w:numId w:val="1"/>
        </w:numPr>
        <w:spacing w:after="0" w:line="360" w:lineRule="auto"/>
        <w:jc w:val="both"/>
        <w:rPr>
          <w:rFonts w:cs="David"/>
          <w:b/>
          <w:bCs/>
          <w:sz w:val="24"/>
          <w:szCs w:val="24"/>
        </w:rPr>
      </w:pPr>
      <w:r>
        <w:rPr>
          <w:rFonts w:cs="David" w:hint="cs"/>
          <w:b/>
          <w:bCs/>
          <w:sz w:val="24"/>
          <w:szCs w:val="24"/>
          <w:rtl/>
        </w:rPr>
        <w:t>מסמכים שיש להגיש בעת הגשת בקשה לאישור</w:t>
      </w:r>
      <w:r w:rsidR="0030271C">
        <w:rPr>
          <w:rFonts w:cs="David" w:hint="cs"/>
          <w:b/>
          <w:bCs/>
          <w:sz w:val="24"/>
          <w:szCs w:val="24"/>
          <w:rtl/>
        </w:rPr>
        <w:t xml:space="preserve"> ה</w:t>
      </w:r>
      <w:r>
        <w:rPr>
          <w:rFonts w:cs="David" w:hint="cs"/>
          <w:b/>
          <w:bCs/>
          <w:sz w:val="24"/>
          <w:szCs w:val="24"/>
          <w:rtl/>
        </w:rPr>
        <w:t>מכרז</w:t>
      </w:r>
      <w:r w:rsidR="0030271C">
        <w:rPr>
          <w:rFonts w:cs="David" w:hint="cs"/>
          <w:b/>
          <w:bCs/>
          <w:sz w:val="24"/>
          <w:szCs w:val="24"/>
          <w:rtl/>
        </w:rPr>
        <w:t xml:space="preserve"> לפרסום</w:t>
      </w:r>
      <w:r w:rsidR="00F909E4">
        <w:rPr>
          <w:rFonts w:cs="David" w:hint="cs"/>
          <w:b/>
          <w:bCs/>
          <w:sz w:val="24"/>
          <w:szCs w:val="24"/>
          <w:rtl/>
        </w:rPr>
        <w:t xml:space="preserve"> (סעיפים 8-17 בטבלה מטה) </w:t>
      </w:r>
      <w:r w:rsidR="005D56FE" w:rsidRPr="007B3E65">
        <w:rPr>
          <w:rFonts w:cs="David" w:hint="cs"/>
          <w:b/>
          <w:bCs/>
          <w:sz w:val="24"/>
          <w:szCs w:val="24"/>
          <w:rtl/>
        </w:rPr>
        <w:t xml:space="preserve"> </w:t>
      </w:r>
    </w:p>
    <w:p w14:paraId="48E6AF85" w14:textId="711D66D7" w:rsidR="005D56FE" w:rsidRDefault="005D56FE" w:rsidP="00F909E4">
      <w:pPr>
        <w:numPr>
          <w:ilvl w:val="3"/>
          <w:numId w:val="1"/>
        </w:numPr>
        <w:spacing w:after="0" w:line="360" w:lineRule="auto"/>
        <w:jc w:val="both"/>
        <w:rPr>
          <w:rFonts w:cs="David"/>
          <w:sz w:val="24"/>
          <w:szCs w:val="24"/>
        </w:rPr>
      </w:pPr>
      <w:r w:rsidRPr="004C3D54">
        <w:rPr>
          <w:rFonts w:cs="David" w:hint="cs"/>
          <w:b/>
          <w:bCs/>
          <w:sz w:val="24"/>
          <w:szCs w:val="24"/>
          <w:rtl/>
        </w:rPr>
        <w:t>הצגת התמורה</w:t>
      </w:r>
      <w:r w:rsidR="00F909E4">
        <w:rPr>
          <w:rFonts w:cs="David" w:hint="cs"/>
          <w:b/>
          <w:bCs/>
          <w:sz w:val="24"/>
          <w:szCs w:val="24"/>
          <w:rtl/>
        </w:rPr>
        <w:t xml:space="preserve"> (סעיף 8 בטבלה מטה)</w:t>
      </w:r>
      <w:r>
        <w:rPr>
          <w:rFonts w:cs="David" w:hint="cs"/>
          <w:sz w:val="24"/>
          <w:szCs w:val="24"/>
          <w:rtl/>
        </w:rPr>
        <w:t xml:space="preserve">: בהסכם יש להגדיר את התמורה הרלוונטית עבור הרשות המקומית ו/או התאגיד העירוני הן במונחי כסף והן במונחים של תמורה שהינה בגדר שווה כסף. </w:t>
      </w:r>
    </w:p>
    <w:p w14:paraId="1EF949DF" w14:textId="5EB2E135" w:rsidR="00F909E4" w:rsidRPr="007B3E65" w:rsidRDefault="00F909E4" w:rsidP="00F909E4">
      <w:pPr>
        <w:numPr>
          <w:ilvl w:val="3"/>
          <w:numId w:val="1"/>
        </w:numPr>
        <w:spacing w:after="0" w:line="360" w:lineRule="auto"/>
        <w:jc w:val="both"/>
        <w:rPr>
          <w:rFonts w:cs="David"/>
          <w:sz w:val="24"/>
          <w:szCs w:val="24"/>
          <w:rtl/>
        </w:rPr>
      </w:pPr>
      <w:r w:rsidRPr="007B3E65">
        <w:rPr>
          <w:rFonts w:cs="David" w:hint="cs"/>
          <w:b/>
          <w:bCs/>
          <w:sz w:val="24"/>
          <w:szCs w:val="24"/>
          <w:rtl/>
        </w:rPr>
        <w:lastRenderedPageBreak/>
        <w:t>כימות התוצאה הרצויה מהיזם</w:t>
      </w:r>
      <w:r>
        <w:rPr>
          <w:rFonts w:cs="David" w:hint="cs"/>
          <w:b/>
          <w:bCs/>
          <w:sz w:val="24"/>
          <w:szCs w:val="24"/>
          <w:rtl/>
        </w:rPr>
        <w:t xml:space="preserve"> (סעיף 9 בטבלה מטה)</w:t>
      </w:r>
      <w:r w:rsidRPr="007B3E65">
        <w:rPr>
          <w:rFonts w:cs="David" w:hint="cs"/>
          <w:b/>
          <w:bCs/>
          <w:sz w:val="24"/>
          <w:szCs w:val="24"/>
          <w:rtl/>
        </w:rPr>
        <w:t>:</w:t>
      </w:r>
      <w:r w:rsidRPr="007B3E65">
        <w:rPr>
          <w:rFonts w:cs="David" w:hint="cs"/>
          <w:sz w:val="24"/>
          <w:szCs w:val="24"/>
          <w:rtl/>
        </w:rPr>
        <w:t xml:space="preserve"> יש להגדיר את התוצאה הנדרשת מבחינת הרשות המקומית באופן מדיד (היקף בנייה באלפי מ"ר, כתב כמויות רלוונטי, או כל תוצאה אחרת בהתאם לעניין ובאופן שיאפשר את בחינת עמידת הזכיין בהשגת התוצאה). המטרה של הגדרה זו היא למנוע עמימות ופרשנות שונה להישג הנדרש מבחינת הזכיין / הגורם שצפוי לגשת למכרז. חשוב להגדיר זאת עוד בטרם התקבל אישור משרד הפנים ליציאה למכרז.  </w:t>
      </w:r>
    </w:p>
    <w:p w14:paraId="5207CA1D" w14:textId="6BEA4D3C" w:rsidR="00F909E4" w:rsidRPr="00E11FD7" w:rsidRDefault="00F909E4" w:rsidP="00F909E4">
      <w:pPr>
        <w:numPr>
          <w:ilvl w:val="3"/>
          <w:numId w:val="1"/>
        </w:numPr>
        <w:spacing w:after="0" w:line="360" w:lineRule="auto"/>
        <w:jc w:val="both"/>
        <w:rPr>
          <w:rFonts w:cs="David"/>
          <w:sz w:val="24"/>
          <w:szCs w:val="24"/>
          <w:rtl/>
        </w:rPr>
      </w:pPr>
      <w:r w:rsidRPr="007B3E65">
        <w:rPr>
          <w:rFonts w:cs="David" w:hint="cs"/>
          <w:b/>
          <w:bCs/>
          <w:sz w:val="24"/>
          <w:szCs w:val="24"/>
          <w:rtl/>
        </w:rPr>
        <w:t>בקרה מצד הרשות המקומית</w:t>
      </w:r>
      <w:r>
        <w:rPr>
          <w:rFonts w:cs="David" w:hint="cs"/>
          <w:b/>
          <w:bCs/>
          <w:sz w:val="24"/>
          <w:szCs w:val="24"/>
          <w:rtl/>
        </w:rPr>
        <w:t xml:space="preserve"> (סעיף 10 בטבלה מטה)</w:t>
      </w:r>
      <w:r w:rsidRPr="007B3E65">
        <w:rPr>
          <w:rFonts w:cs="David" w:hint="cs"/>
          <w:b/>
          <w:bCs/>
          <w:sz w:val="24"/>
          <w:szCs w:val="24"/>
          <w:rtl/>
        </w:rPr>
        <w:t>:</w:t>
      </w:r>
      <w:r w:rsidRPr="007B3E65">
        <w:rPr>
          <w:rFonts w:cs="David" w:hint="cs"/>
          <w:sz w:val="24"/>
          <w:szCs w:val="24"/>
          <w:rtl/>
        </w:rPr>
        <w:t xml:space="preserve"> על הרשות המקומית</w:t>
      </w:r>
      <w:r>
        <w:rPr>
          <w:rFonts w:cs="David" w:hint="cs"/>
          <w:sz w:val="24"/>
          <w:szCs w:val="24"/>
          <w:rtl/>
        </w:rPr>
        <w:t xml:space="preserve"> ו/או התאגיד העירוני</w:t>
      </w:r>
      <w:r w:rsidRPr="007B3E65">
        <w:rPr>
          <w:rFonts w:cs="David" w:hint="cs"/>
          <w:sz w:val="24"/>
          <w:szCs w:val="24"/>
          <w:rtl/>
        </w:rPr>
        <w:t xml:space="preserve"> להגדיר באיזה אופן, על ידי מי ובא</w:t>
      </w:r>
      <w:r>
        <w:rPr>
          <w:rFonts w:cs="David" w:hint="cs"/>
          <w:sz w:val="24"/>
          <w:szCs w:val="24"/>
          <w:rtl/>
        </w:rPr>
        <w:t>יזה תדירות בכוונתה לבצע בקרה אחר</w:t>
      </w:r>
      <w:r w:rsidRPr="007B3E65">
        <w:rPr>
          <w:rFonts w:cs="David" w:hint="cs"/>
          <w:sz w:val="24"/>
          <w:szCs w:val="24"/>
          <w:rtl/>
        </w:rPr>
        <w:t xml:space="preserve"> עבודת הזכיין, מה צפוי הגורם המבקר לבדוק ומה המנגנון שיחייב את הזכיין לתקן את הליקויים (כגון חריגה מכתב הכמויות, ליקויי בטיחות, חריגה מלוח הזמנים וכדומה). בקרה זו עשויה להיות הנדסית, כלכלית, משפטית, תפעולית או כל בקרה אחרת שתימצא </w:t>
      </w:r>
      <w:r w:rsidRPr="00E11FD7">
        <w:rPr>
          <w:rFonts w:cs="David" w:hint="cs"/>
          <w:sz w:val="24"/>
          <w:szCs w:val="24"/>
          <w:rtl/>
        </w:rPr>
        <w:t xml:space="preserve">רלוונטית לבחינת עמידת הזכיין בתנאי ההתקשרות. </w:t>
      </w:r>
    </w:p>
    <w:p w14:paraId="5A93FA87" w14:textId="0DECD25E" w:rsidR="00F909E4" w:rsidRPr="00E11FD7" w:rsidRDefault="00F909E4" w:rsidP="00F909E4">
      <w:pPr>
        <w:numPr>
          <w:ilvl w:val="3"/>
          <w:numId w:val="1"/>
        </w:numPr>
        <w:spacing w:after="0" w:line="360" w:lineRule="auto"/>
        <w:jc w:val="both"/>
        <w:rPr>
          <w:rFonts w:cs="David"/>
          <w:sz w:val="24"/>
          <w:szCs w:val="24"/>
          <w:rtl/>
        </w:rPr>
      </w:pPr>
      <w:r w:rsidRPr="00E11FD7">
        <w:rPr>
          <w:rFonts w:cs="David" w:hint="cs"/>
          <w:b/>
          <w:bCs/>
          <w:sz w:val="24"/>
          <w:szCs w:val="24"/>
          <w:rtl/>
        </w:rPr>
        <w:t>מנגנון להבטחת הקופה הציבורית ושימור זכויותיה</w:t>
      </w:r>
      <w:r>
        <w:rPr>
          <w:rFonts w:cs="David" w:hint="cs"/>
          <w:b/>
          <w:bCs/>
          <w:sz w:val="24"/>
          <w:szCs w:val="24"/>
          <w:rtl/>
        </w:rPr>
        <w:t xml:space="preserve"> (סעיף 11 בטבלה מטה)</w:t>
      </w:r>
      <w:r w:rsidRPr="00E11FD7">
        <w:rPr>
          <w:rFonts w:cs="David" w:hint="cs"/>
          <w:sz w:val="24"/>
          <w:szCs w:val="24"/>
          <w:rtl/>
        </w:rPr>
        <w:t xml:space="preserve">: על הרשות המקומית להציג מנגנון שנועד לתת מענה למצבי קיצון שונים כגון קריסת הזכיין, אירוע ביטוחי, חריגה מהתכנית העסקית וכדומה שבמסגרתם יוגדר כיצד הרשות המקומית נמנעת מסיכון מבחינה פיננסית. דוגמה לכך עשויה להיות דרישה לערבות ביצוע באחוז מסוים מעלות הפרויקט או הפקדת סכום כסף בנאמנות ובשליטת הרשות המקומית עם תנאים לחילוט הערבות / העברת כספים מהנאמן לרשות המקומית הן בתקופת בנייה (ככל שקיימת) והן בתקופת ההפעלה. במסגרת מנגנון זה  יש להגדיר את האופן שבו חוזרות הזכויות שקיבל הזכיין במסגרת הסכם ההתקשרות לרשות המקומית, את המצבים בהם חוזרות הזכויות לרשות המקומית (לדוגמה עם סיום ההסכם או עם הפרת ההסכם) וכן את התנאים המחייבים את הזכיין לגבי הנכסים במועד החזרתם. </w:t>
      </w:r>
    </w:p>
    <w:p w14:paraId="3B418135" w14:textId="0F4DD82D" w:rsidR="005D56FE" w:rsidRPr="00E11FD7" w:rsidRDefault="005D56FE" w:rsidP="00F909E4">
      <w:pPr>
        <w:numPr>
          <w:ilvl w:val="3"/>
          <w:numId w:val="1"/>
        </w:numPr>
        <w:spacing w:after="0" w:line="360" w:lineRule="auto"/>
        <w:jc w:val="both"/>
        <w:rPr>
          <w:rFonts w:cs="David"/>
          <w:sz w:val="24"/>
          <w:szCs w:val="24"/>
          <w:rtl/>
        </w:rPr>
      </w:pPr>
      <w:r w:rsidRPr="00E11FD7">
        <w:rPr>
          <w:rFonts w:cs="David" w:hint="cs"/>
          <w:b/>
          <w:bCs/>
          <w:sz w:val="24"/>
          <w:szCs w:val="24"/>
          <w:rtl/>
        </w:rPr>
        <w:t xml:space="preserve">מנגנון לצמצום </w:t>
      </w:r>
      <w:r w:rsidRPr="00F909E4">
        <w:rPr>
          <w:rFonts w:cs="David" w:hint="cs"/>
          <w:b/>
          <w:bCs/>
          <w:sz w:val="24"/>
          <w:szCs w:val="24"/>
          <w:rtl/>
        </w:rPr>
        <w:t>הסיכון המשפטי</w:t>
      </w:r>
      <w:r w:rsidR="00F909E4" w:rsidRPr="00F909E4">
        <w:rPr>
          <w:rFonts w:cs="David" w:hint="cs"/>
          <w:b/>
          <w:bCs/>
          <w:sz w:val="24"/>
          <w:szCs w:val="24"/>
          <w:rtl/>
        </w:rPr>
        <w:t xml:space="preserve"> (סעיף 12 בטבלה מטה)</w:t>
      </w:r>
      <w:r w:rsidRPr="00F909E4">
        <w:rPr>
          <w:rFonts w:cs="David" w:hint="cs"/>
          <w:b/>
          <w:bCs/>
          <w:sz w:val="24"/>
          <w:szCs w:val="24"/>
          <w:rtl/>
        </w:rPr>
        <w:t>:</w:t>
      </w:r>
      <w:r w:rsidRPr="00E11FD7">
        <w:rPr>
          <w:rFonts w:cs="David" w:hint="cs"/>
          <w:sz w:val="24"/>
          <w:szCs w:val="24"/>
          <w:rtl/>
        </w:rPr>
        <w:t xml:space="preserve"> על הרשות המקומית להציג מנגנון שנועד לתת מענה למצבי קיצון שונים (לדוגמה קריסת הזכיין, אירוע ביטוחי, חריגה מהתכנית העסקית וכדומה) שבמסגרתם יוגדרו הזכויות של הזכיין במקרים הללו, הפיצוי המוסכם עבור הרשות המקומית (מעבר לכספים שניתן לחלט במסגרת הערבות / כספי הנאמנות) והתניה מפורשת שבמצב קיצון שבו הזכיין לא עומד בתנאי ההסכם </w:t>
      </w:r>
      <w:r w:rsidRPr="00E11FD7">
        <w:rPr>
          <w:rFonts w:cs="David"/>
          <w:sz w:val="24"/>
          <w:szCs w:val="24"/>
          <w:rtl/>
        </w:rPr>
        <w:t>–</w:t>
      </w:r>
      <w:r w:rsidRPr="00E11FD7">
        <w:rPr>
          <w:rFonts w:cs="David" w:hint="cs"/>
          <w:sz w:val="24"/>
          <w:szCs w:val="24"/>
          <w:rtl/>
        </w:rPr>
        <w:t xml:space="preserve"> ההסכם יבוטל לאור חריגה מההסכם וכל זכויותיו של הזכיין במסגרת ההסכם בטלות ללא זכות לקבלת פיצוי בגין ההשקעות שעבר בוצעו על ידו. </w:t>
      </w:r>
    </w:p>
    <w:p w14:paraId="5B069822" w14:textId="4CDF2EC2" w:rsidR="005D56FE" w:rsidRPr="00E11FD7" w:rsidRDefault="005D56FE" w:rsidP="00F909E4">
      <w:pPr>
        <w:numPr>
          <w:ilvl w:val="3"/>
          <w:numId w:val="1"/>
        </w:numPr>
        <w:spacing w:after="0" w:line="360" w:lineRule="auto"/>
        <w:jc w:val="both"/>
        <w:rPr>
          <w:rFonts w:cs="David"/>
          <w:sz w:val="24"/>
          <w:szCs w:val="24"/>
        </w:rPr>
      </w:pPr>
      <w:r w:rsidRPr="00E11FD7">
        <w:rPr>
          <w:rFonts w:cs="David" w:hint="cs"/>
          <w:b/>
          <w:bCs/>
          <w:sz w:val="24"/>
          <w:szCs w:val="24"/>
          <w:rtl/>
        </w:rPr>
        <w:t>מנגנון תשלומים</w:t>
      </w:r>
      <w:r w:rsidR="00F909E4">
        <w:rPr>
          <w:rFonts w:cs="David" w:hint="cs"/>
          <w:b/>
          <w:bCs/>
          <w:sz w:val="24"/>
          <w:szCs w:val="24"/>
          <w:rtl/>
        </w:rPr>
        <w:t xml:space="preserve"> (סעיף 13 בטבלה מטה)</w:t>
      </w:r>
      <w:r w:rsidRPr="00E11FD7">
        <w:rPr>
          <w:rFonts w:cs="David" w:hint="cs"/>
          <w:b/>
          <w:bCs/>
          <w:sz w:val="24"/>
          <w:szCs w:val="24"/>
          <w:rtl/>
        </w:rPr>
        <w:t xml:space="preserve">: </w:t>
      </w:r>
      <w:r w:rsidRPr="00E11FD7">
        <w:rPr>
          <w:rFonts w:cs="David" w:hint="cs"/>
          <w:sz w:val="24"/>
          <w:szCs w:val="24"/>
          <w:rtl/>
        </w:rPr>
        <w:t xml:space="preserve">הרשות המקומית </w:t>
      </w:r>
      <w:r>
        <w:rPr>
          <w:rFonts w:cs="David" w:hint="cs"/>
          <w:sz w:val="24"/>
          <w:szCs w:val="24"/>
          <w:rtl/>
        </w:rPr>
        <w:t xml:space="preserve">ו/או התאגיד העירוני </w:t>
      </w:r>
      <w:r w:rsidRPr="00E11FD7">
        <w:rPr>
          <w:rFonts w:cs="David" w:hint="cs"/>
          <w:sz w:val="24"/>
          <w:szCs w:val="24"/>
          <w:rtl/>
        </w:rPr>
        <w:t xml:space="preserve">תפרט את מקורות ההכנסה של הזכיין ואת התשלומים </w:t>
      </w:r>
      <w:r w:rsidRPr="00E11FD7">
        <w:rPr>
          <w:rFonts w:cs="David" w:hint="cs"/>
          <w:sz w:val="24"/>
          <w:szCs w:val="24"/>
          <w:rtl/>
        </w:rPr>
        <w:lastRenderedPageBreak/>
        <w:t xml:space="preserve">של הרשות המקומית לפני ביצוע הפרויקט ולאחר ביצוע הפרויקט (בהתאם לתכנון) בגין קבלת השירות הרלוונטי (לדוגמה, במקרה של בניין מועצה, יש לפרט את עלות השכרת / אחזקת המשרדים הקיימת אל מול עלות במסגרת הפרויקט במונחים למטר רבוע). </w:t>
      </w:r>
    </w:p>
    <w:p w14:paraId="69B5E3D2" w14:textId="16970AD5" w:rsidR="007D688D" w:rsidRPr="00E11FD7" w:rsidRDefault="007D688D" w:rsidP="007D688D">
      <w:pPr>
        <w:numPr>
          <w:ilvl w:val="3"/>
          <w:numId w:val="1"/>
        </w:numPr>
        <w:spacing w:after="0" w:line="360" w:lineRule="auto"/>
        <w:jc w:val="both"/>
        <w:rPr>
          <w:rFonts w:cs="David"/>
          <w:sz w:val="24"/>
          <w:szCs w:val="24"/>
        </w:rPr>
      </w:pPr>
      <w:r w:rsidRPr="00E11FD7">
        <w:rPr>
          <w:rFonts w:cs="David" w:hint="cs"/>
          <w:b/>
          <w:bCs/>
          <w:sz w:val="24"/>
          <w:szCs w:val="24"/>
          <w:rtl/>
        </w:rPr>
        <w:t>תנאי סף להתמודדות</w:t>
      </w:r>
      <w:r>
        <w:rPr>
          <w:rFonts w:cs="David" w:hint="cs"/>
          <w:b/>
          <w:bCs/>
          <w:sz w:val="24"/>
          <w:szCs w:val="24"/>
          <w:rtl/>
        </w:rPr>
        <w:t xml:space="preserve"> במכרז (סעיף 14 בטבלה מטה)</w:t>
      </w:r>
      <w:r w:rsidRPr="00E11FD7">
        <w:rPr>
          <w:rFonts w:cs="David" w:hint="cs"/>
          <w:b/>
          <w:bCs/>
          <w:sz w:val="24"/>
          <w:szCs w:val="24"/>
          <w:rtl/>
        </w:rPr>
        <w:t xml:space="preserve">: </w:t>
      </w:r>
      <w:r w:rsidRPr="00E11FD7">
        <w:rPr>
          <w:rFonts w:cs="David" w:hint="cs"/>
          <w:sz w:val="24"/>
          <w:szCs w:val="24"/>
          <w:rtl/>
        </w:rPr>
        <w:t>על הרשות המקומית להגדיר מה הם תנאי הסף להתמודדות במכרז</w:t>
      </w:r>
      <w:r w:rsidRPr="00E11FD7">
        <w:rPr>
          <w:rFonts w:cs="David" w:hint="cs"/>
          <w:b/>
          <w:bCs/>
          <w:sz w:val="24"/>
          <w:szCs w:val="24"/>
          <w:rtl/>
        </w:rPr>
        <w:t xml:space="preserve"> </w:t>
      </w:r>
      <w:r w:rsidRPr="00E11FD7">
        <w:rPr>
          <w:rFonts w:cs="David" w:hint="cs"/>
          <w:sz w:val="24"/>
          <w:szCs w:val="24"/>
          <w:rtl/>
        </w:rPr>
        <w:t xml:space="preserve">(לדוגמה ניסיון קודם, איתנות כלכלית וכדומה). </w:t>
      </w:r>
    </w:p>
    <w:p w14:paraId="27072DF0" w14:textId="375214AC" w:rsidR="005D56FE" w:rsidRDefault="005D56FE" w:rsidP="007D688D">
      <w:pPr>
        <w:numPr>
          <w:ilvl w:val="3"/>
          <w:numId w:val="1"/>
        </w:numPr>
        <w:spacing w:after="0" w:line="360" w:lineRule="auto"/>
        <w:jc w:val="both"/>
        <w:rPr>
          <w:rFonts w:cs="David"/>
          <w:sz w:val="24"/>
          <w:szCs w:val="24"/>
        </w:rPr>
      </w:pPr>
      <w:r w:rsidRPr="00E11FD7">
        <w:rPr>
          <w:rFonts w:cs="David" w:hint="cs"/>
          <w:b/>
          <w:bCs/>
          <w:sz w:val="24"/>
          <w:szCs w:val="24"/>
          <w:rtl/>
        </w:rPr>
        <w:t>היענות למכרז</w:t>
      </w:r>
      <w:r w:rsidR="007D688D">
        <w:rPr>
          <w:rFonts w:cs="David" w:hint="cs"/>
          <w:b/>
          <w:bCs/>
          <w:sz w:val="24"/>
          <w:szCs w:val="24"/>
          <w:rtl/>
        </w:rPr>
        <w:t xml:space="preserve"> (סעיף 15 בטבלה מטה)</w:t>
      </w:r>
      <w:r w:rsidRPr="00E11FD7">
        <w:rPr>
          <w:rFonts w:cs="David" w:hint="cs"/>
          <w:b/>
          <w:bCs/>
          <w:sz w:val="24"/>
          <w:szCs w:val="24"/>
          <w:rtl/>
        </w:rPr>
        <w:t>:</w:t>
      </w:r>
      <w:r w:rsidRPr="00E11FD7">
        <w:rPr>
          <w:rFonts w:cs="David" w:hint="cs"/>
          <w:sz w:val="24"/>
          <w:szCs w:val="24"/>
          <w:rtl/>
        </w:rPr>
        <w:t xml:space="preserve"> על הרשות המקומית </w:t>
      </w:r>
      <w:r>
        <w:rPr>
          <w:rFonts w:cs="David" w:hint="cs"/>
          <w:sz w:val="24"/>
          <w:szCs w:val="24"/>
          <w:rtl/>
        </w:rPr>
        <w:t xml:space="preserve">ו/או התאגיד העירוני </w:t>
      </w:r>
      <w:r w:rsidRPr="00E11FD7">
        <w:rPr>
          <w:rFonts w:cs="David" w:hint="cs"/>
          <w:sz w:val="24"/>
          <w:szCs w:val="24"/>
          <w:rtl/>
        </w:rPr>
        <w:t>לפרט את ההנחות בדבר היקף המשתתפים במכרז לנוכח יציאה לקבלת מידע (</w:t>
      </w:r>
      <w:r w:rsidRPr="00E11FD7">
        <w:rPr>
          <w:rFonts w:cs="David"/>
          <w:sz w:val="24"/>
          <w:szCs w:val="24"/>
        </w:rPr>
        <w:t>RFI</w:t>
      </w:r>
      <w:r w:rsidRPr="00E11FD7">
        <w:rPr>
          <w:rFonts w:cs="David" w:hint="cs"/>
          <w:sz w:val="24"/>
          <w:szCs w:val="24"/>
          <w:rtl/>
        </w:rPr>
        <w:t xml:space="preserve">) או על סמך פעילויות בהיקפים דומים שיצדיקו את ההשקעה במכרז. לדוגמה אם קיים ספק יחיד רלוונטי אז ההליך מלכתחילה לא רלוונטי. </w:t>
      </w:r>
    </w:p>
    <w:p w14:paraId="1446F87E" w14:textId="223F731F" w:rsidR="00F909E4" w:rsidRPr="004C3D54" w:rsidRDefault="00F909E4" w:rsidP="007D688D">
      <w:pPr>
        <w:numPr>
          <w:ilvl w:val="3"/>
          <w:numId w:val="1"/>
        </w:numPr>
        <w:spacing w:after="0" w:line="360" w:lineRule="auto"/>
        <w:jc w:val="both"/>
        <w:rPr>
          <w:rFonts w:cs="David"/>
          <w:sz w:val="24"/>
          <w:szCs w:val="24"/>
        </w:rPr>
      </w:pPr>
      <w:r>
        <w:rPr>
          <w:rFonts w:cs="David" w:hint="cs"/>
          <w:b/>
          <w:bCs/>
          <w:sz w:val="24"/>
          <w:szCs w:val="24"/>
          <w:rtl/>
        </w:rPr>
        <w:t>צדדים להסכם</w:t>
      </w:r>
      <w:r w:rsidR="007D688D" w:rsidRPr="007D688D">
        <w:rPr>
          <w:rFonts w:cs="David" w:hint="cs"/>
          <w:b/>
          <w:bCs/>
          <w:sz w:val="24"/>
          <w:szCs w:val="24"/>
          <w:rtl/>
        </w:rPr>
        <w:t xml:space="preserve"> (סעיף 16 בטבלה מטה)</w:t>
      </w:r>
      <w:r w:rsidRPr="007D688D">
        <w:rPr>
          <w:rFonts w:cs="David" w:hint="cs"/>
          <w:b/>
          <w:bCs/>
          <w:sz w:val="24"/>
          <w:szCs w:val="24"/>
          <w:rtl/>
        </w:rPr>
        <w:t>:</w:t>
      </w:r>
      <w:r>
        <w:rPr>
          <w:rFonts w:cs="David" w:hint="cs"/>
          <w:sz w:val="24"/>
          <w:szCs w:val="24"/>
          <w:rtl/>
        </w:rPr>
        <w:t xml:space="preserve"> במקרה שתאגיד עירוני משולב באופן כזה או אחר בביצוע הפרויקט יש לגבש הסכם משולש הכולל את היזם, התאגיד העירוני והרשות המקומית.</w:t>
      </w:r>
    </w:p>
    <w:p w14:paraId="3DEA88E1" w14:textId="3BD77D65" w:rsidR="005D56FE" w:rsidRPr="00A71F56" w:rsidRDefault="005D56FE" w:rsidP="007D688D">
      <w:pPr>
        <w:numPr>
          <w:ilvl w:val="3"/>
          <w:numId w:val="1"/>
        </w:numPr>
        <w:spacing w:after="0" w:line="360" w:lineRule="auto"/>
        <w:jc w:val="both"/>
        <w:rPr>
          <w:rFonts w:cs="David"/>
          <w:sz w:val="24"/>
          <w:szCs w:val="24"/>
        </w:rPr>
      </w:pPr>
      <w:r>
        <w:rPr>
          <w:rFonts w:cs="David" w:hint="cs"/>
          <w:b/>
          <w:bCs/>
          <w:sz w:val="24"/>
          <w:szCs w:val="24"/>
          <w:rtl/>
        </w:rPr>
        <w:t>טיוטת הסכם התקשרות וטיוטת מכרז</w:t>
      </w:r>
      <w:r w:rsidR="007D688D">
        <w:rPr>
          <w:rFonts w:cs="David" w:hint="cs"/>
          <w:b/>
          <w:bCs/>
          <w:sz w:val="24"/>
          <w:szCs w:val="24"/>
          <w:rtl/>
        </w:rPr>
        <w:t xml:space="preserve"> (סעיף 17 בטבלה מטה)</w:t>
      </w:r>
      <w:r>
        <w:rPr>
          <w:rFonts w:cs="David" w:hint="cs"/>
          <w:b/>
          <w:bCs/>
          <w:sz w:val="24"/>
          <w:szCs w:val="24"/>
          <w:rtl/>
        </w:rPr>
        <w:t>:</w:t>
      </w:r>
      <w:r>
        <w:rPr>
          <w:rFonts w:cs="David" w:hint="cs"/>
          <w:sz w:val="24"/>
          <w:szCs w:val="24"/>
          <w:rtl/>
        </w:rPr>
        <w:t xml:space="preserve"> על הרשות המקומית ו/או התאגיד העירוני להציג טיוטה של הסכם ההתקשרות וכן טיוטה של המכרז במידה וישנם עוד בשלב קבלת האישור המקדמי. במידה וטרם גובשו מסמכים אלו, יש להעביר את יתר המסמכים בהתאם לפירוט המופיע בחוזר זה. בכל מקרה יובהר כי טיוטת מסמכי המכרז וטיוטת הסכם ההתקשרות יידרשו בטרם קבלת אישור עקרוני של מנכ"ל המשרד לפרסום. לאחר קבלת האישור העקרוני לפרסום וקבלת תוצאות המכרז יידרש אישור של ההתקשרות. </w:t>
      </w:r>
    </w:p>
    <w:p w14:paraId="50D2249B" w14:textId="3B5AABD1" w:rsidR="007D688D" w:rsidRDefault="0030271C" w:rsidP="00F53D63">
      <w:pPr>
        <w:numPr>
          <w:ilvl w:val="2"/>
          <w:numId w:val="1"/>
        </w:numPr>
        <w:spacing w:after="0" w:line="360" w:lineRule="auto"/>
        <w:jc w:val="both"/>
        <w:rPr>
          <w:rFonts w:cs="David"/>
          <w:b/>
          <w:bCs/>
          <w:sz w:val="24"/>
          <w:szCs w:val="24"/>
        </w:rPr>
      </w:pPr>
      <w:r>
        <w:rPr>
          <w:rFonts w:cs="David" w:hint="cs"/>
          <w:b/>
          <w:bCs/>
          <w:sz w:val="24"/>
          <w:szCs w:val="24"/>
          <w:rtl/>
        </w:rPr>
        <w:t>מסמכים שיש להגיש בעת הגשת בקשה לאישור התקשרות עם הזוכה במכרז</w:t>
      </w:r>
      <w:r w:rsidR="007D688D">
        <w:rPr>
          <w:rFonts w:cs="David" w:hint="cs"/>
          <w:b/>
          <w:bCs/>
          <w:sz w:val="24"/>
          <w:szCs w:val="24"/>
          <w:rtl/>
        </w:rPr>
        <w:t xml:space="preserve"> (סעיפים 18-2</w:t>
      </w:r>
      <w:r w:rsidR="00F53D63">
        <w:rPr>
          <w:rFonts w:cs="David" w:hint="cs"/>
          <w:b/>
          <w:bCs/>
          <w:sz w:val="24"/>
          <w:szCs w:val="24"/>
          <w:rtl/>
        </w:rPr>
        <w:t>1</w:t>
      </w:r>
      <w:r w:rsidR="007D688D">
        <w:rPr>
          <w:rFonts w:cs="David" w:hint="cs"/>
          <w:b/>
          <w:bCs/>
          <w:sz w:val="24"/>
          <w:szCs w:val="24"/>
          <w:rtl/>
        </w:rPr>
        <w:t xml:space="preserve"> בטבלה מטה)</w:t>
      </w:r>
    </w:p>
    <w:p w14:paraId="21318827" w14:textId="5D598EE2" w:rsidR="005D56FE" w:rsidRPr="00F53D63" w:rsidRDefault="00F53D63" w:rsidP="00F53D63">
      <w:pPr>
        <w:numPr>
          <w:ilvl w:val="3"/>
          <w:numId w:val="1"/>
        </w:numPr>
        <w:spacing w:after="0" w:line="360" w:lineRule="auto"/>
        <w:jc w:val="both"/>
        <w:rPr>
          <w:rFonts w:cs="David"/>
          <w:b/>
          <w:bCs/>
          <w:sz w:val="24"/>
          <w:szCs w:val="24"/>
        </w:rPr>
      </w:pPr>
      <w:r>
        <w:rPr>
          <w:rFonts w:cs="David" w:hint="cs"/>
          <w:b/>
          <w:bCs/>
          <w:sz w:val="24"/>
          <w:szCs w:val="24"/>
          <w:rtl/>
        </w:rPr>
        <w:t>הסכם התקשרות חתום (סעיף 18 בטבלה מטה)</w:t>
      </w:r>
      <w:r w:rsidR="005D56FE" w:rsidRPr="007D688D">
        <w:rPr>
          <w:rFonts w:cs="David" w:hint="cs"/>
          <w:b/>
          <w:bCs/>
          <w:sz w:val="24"/>
          <w:szCs w:val="24"/>
          <w:rtl/>
        </w:rPr>
        <w:t>:</w:t>
      </w:r>
      <w:r>
        <w:rPr>
          <w:rFonts w:cs="David" w:hint="cs"/>
          <w:sz w:val="24"/>
          <w:szCs w:val="24"/>
          <w:rtl/>
        </w:rPr>
        <w:t xml:space="preserve"> בהתאם לתוצאות המכרז לרבות פרוטוקול ועדת המכרזים לאישור ההתקשרות.</w:t>
      </w:r>
    </w:p>
    <w:p w14:paraId="4EFB1DE2" w14:textId="77777777" w:rsidR="00F53D63" w:rsidRDefault="00F53D63" w:rsidP="00F53D63">
      <w:pPr>
        <w:numPr>
          <w:ilvl w:val="3"/>
          <w:numId w:val="1"/>
        </w:numPr>
        <w:spacing w:after="0" w:line="360" w:lineRule="auto"/>
        <w:jc w:val="both"/>
        <w:rPr>
          <w:rFonts w:cs="David"/>
          <w:b/>
          <w:bCs/>
          <w:sz w:val="24"/>
          <w:szCs w:val="24"/>
        </w:rPr>
      </w:pPr>
      <w:r>
        <w:rPr>
          <w:rFonts w:cs="David" w:hint="cs"/>
          <w:b/>
          <w:bCs/>
          <w:sz w:val="24"/>
          <w:szCs w:val="24"/>
          <w:rtl/>
        </w:rPr>
        <w:t xml:space="preserve">מכרז שפורסם (סעיף 19 בטבלה מטה): </w:t>
      </w:r>
      <w:r w:rsidRPr="00F53D63">
        <w:rPr>
          <w:rFonts w:cs="David" w:hint="cs"/>
          <w:sz w:val="24"/>
          <w:szCs w:val="24"/>
          <w:rtl/>
        </w:rPr>
        <w:t>יש להציג את המכרז שפורסם, אופן הפרסום, משך הפרסום ומספר המציעים שניגשו.</w:t>
      </w:r>
    </w:p>
    <w:p w14:paraId="5B91F251" w14:textId="3FE5328F" w:rsidR="00F53D63" w:rsidRPr="00F53D63" w:rsidRDefault="00F53D63" w:rsidP="00F53D63">
      <w:pPr>
        <w:numPr>
          <w:ilvl w:val="3"/>
          <w:numId w:val="1"/>
        </w:numPr>
        <w:spacing w:after="0" w:line="360" w:lineRule="auto"/>
        <w:jc w:val="both"/>
        <w:rPr>
          <w:rFonts w:cs="David"/>
          <w:sz w:val="24"/>
          <w:szCs w:val="24"/>
        </w:rPr>
      </w:pPr>
      <w:r>
        <w:rPr>
          <w:rFonts w:cs="David" w:hint="cs"/>
          <w:b/>
          <w:bCs/>
          <w:sz w:val="24"/>
          <w:szCs w:val="24"/>
          <w:rtl/>
        </w:rPr>
        <w:t xml:space="preserve">חוות דעת משפטית (סעיף 20 מטה): </w:t>
      </w:r>
      <w:r w:rsidRPr="00F53D63">
        <w:rPr>
          <w:rFonts w:cs="David" w:hint="cs"/>
          <w:sz w:val="24"/>
          <w:szCs w:val="24"/>
          <w:rtl/>
        </w:rPr>
        <w:t>חוות דעת משפטית לעניין אישור ההתקשרות.</w:t>
      </w:r>
    </w:p>
    <w:p w14:paraId="76655E1B" w14:textId="6462DDD5" w:rsidR="00F53D63" w:rsidRPr="00F53D63" w:rsidRDefault="00F53D63" w:rsidP="00F53D63">
      <w:pPr>
        <w:numPr>
          <w:ilvl w:val="3"/>
          <w:numId w:val="1"/>
        </w:numPr>
        <w:spacing w:after="0" w:line="360" w:lineRule="auto"/>
        <w:jc w:val="both"/>
        <w:rPr>
          <w:rFonts w:cs="David"/>
          <w:sz w:val="24"/>
          <w:szCs w:val="24"/>
        </w:rPr>
      </w:pPr>
      <w:r>
        <w:rPr>
          <w:rFonts w:cs="David" w:hint="cs"/>
          <w:b/>
          <w:bCs/>
          <w:sz w:val="24"/>
          <w:szCs w:val="24"/>
          <w:rtl/>
        </w:rPr>
        <w:t xml:space="preserve">החלטת מועצה לעניין אישור ההתקשרות (סעיף 21 בטבלה מטה): </w:t>
      </w:r>
      <w:r w:rsidRPr="00F53D63">
        <w:rPr>
          <w:rFonts w:cs="David" w:hint="cs"/>
          <w:sz w:val="24"/>
          <w:szCs w:val="24"/>
          <w:rtl/>
        </w:rPr>
        <w:t>יש להציג את פרוטוקול המליאה והדיון המהותי שהתקיים לעניין אישור ההתקשרות.</w:t>
      </w:r>
    </w:p>
    <w:p w14:paraId="044111B2" w14:textId="24C57862" w:rsidR="005D56FE" w:rsidRDefault="005D56FE" w:rsidP="00F53D63">
      <w:pPr>
        <w:numPr>
          <w:ilvl w:val="1"/>
          <w:numId w:val="1"/>
        </w:numPr>
        <w:spacing w:after="0" w:line="360" w:lineRule="auto"/>
        <w:jc w:val="both"/>
        <w:rPr>
          <w:rFonts w:cs="David"/>
          <w:b/>
          <w:bCs/>
          <w:sz w:val="24"/>
          <w:szCs w:val="24"/>
        </w:rPr>
      </w:pPr>
      <w:r>
        <w:rPr>
          <w:rFonts w:cs="David" w:hint="cs"/>
          <w:b/>
          <w:bCs/>
          <w:sz w:val="24"/>
          <w:szCs w:val="24"/>
          <w:rtl/>
        </w:rPr>
        <w:t>הנחיות לעניין הרישום החשבונאי (</w:t>
      </w:r>
      <w:r w:rsidR="00F53D63">
        <w:rPr>
          <w:rFonts w:cs="David" w:hint="cs"/>
          <w:b/>
          <w:bCs/>
          <w:sz w:val="24"/>
          <w:szCs w:val="24"/>
          <w:rtl/>
        </w:rPr>
        <w:t>סעיף זה יוחל על כלל הרשויות המקומיות</w:t>
      </w:r>
      <w:r>
        <w:rPr>
          <w:rFonts w:cs="David" w:hint="cs"/>
          <w:b/>
          <w:bCs/>
          <w:sz w:val="24"/>
          <w:szCs w:val="24"/>
          <w:rtl/>
        </w:rPr>
        <w:t>)</w:t>
      </w:r>
      <w:r w:rsidRPr="00A71F56">
        <w:rPr>
          <w:rFonts w:cs="David" w:hint="cs"/>
          <w:b/>
          <w:bCs/>
          <w:sz w:val="24"/>
          <w:szCs w:val="24"/>
          <w:rtl/>
        </w:rPr>
        <w:t xml:space="preserve">: </w:t>
      </w:r>
    </w:p>
    <w:p w14:paraId="4F507EC1" w14:textId="77777777" w:rsidR="005D56FE" w:rsidRPr="00802F59" w:rsidRDefault="005D56FE" w:rsidP="005D56FE">
      <w:pPr>
        <w:numPr>
          <w:ilvl w:val="2"/>
          <w:numId w:val="1"/>
        </w:numPr>
        <w:spacing w:after="0" w:line="360" w:lineRule="auto"/>
        <w:jc w:val="both"/>
        <w:rPr>
          <w:rFonts w:cs="David"/>
          <w:sz w:val="24"/>
          <w:szCs w:val="24"/>
          <w:rtl/>
        </w:rPr>
      </w:pPr>
      <w:r w:rsidRPr="00802F59">
        <w:rPr>
          <w:rFonts w:cs="David" w:hint="cs"/>
          <w:sz w:val="24"/>
          <w:szCs w:val="24"/>
          <w:rtl/>
        </w:rPr>
        <w:t xml:space="preserve">ניתן לחלק את סוגי ההתקשרויות לביצוע פרויקטים מסוג </w:t>
      </w:r>
      <w:r w:rsidRPr="00802F59">
        <w:rPr>
          <w:rFonts w:cs="David"/>
          <w:sz w:val="24"/>
          <w:szCs w:val="24"/>
        </w:rPr>
        <w:t>PPP</w:t>
      </w:r>
      <w:r w:rsidRPr="00802F59">
        <w:rPr>
          <w:rFonts w:cs="David" w:hint="cs"/>
          <w:sz w:val="24"/>
          <w:szCs w:val="24"/>
          <w:rtl/>
        </w:rPr>
        <w:t xml:space="preserve"> לשתי קבוצות עיקריות:</w:t>
      </w:r>
    </w:p>
    <w:p w14:paraId="5E1B8894" w14:textId="77777777" w:rsidR="005D56FE" w:rsidRDefault="005D56FE" w:rsidP="005D56FE">
      <w:pPr>
        <w:numPr>
          <w:ilvl w:val="3"/>
          <w:numId w:val="1"/>
        </w:numPr>
        <w:spacing w:after="0" w:line="360" w:lineRule="auto"/>
        <w:jc w:val="both"/>
        <w:rPr>
          <w:rFonts w:cs="David"/>
          <w:sz w:val="24"/>
          <w:szCs w:val="24"/>
        </w:rPr>
      </w:pPr>
      <w:r w:rsidRPr="00802F59">
        <w:rPr>
          <w:rFonts w:cs="David" w:hint="cs"/>
          <w:sz w:val="24"/>
          <w:szCs w:val="24"/>
          <w:rtl/>
        </w:rPr>
        <w:lastRenderedPageBreak/>
        <w:t>הקבוצה האחת- פרויקטים שאינם יוצרים לרשות המקומית התחייבות כספית כלפי היזם.</w:t>
      </w:r>
      <w:r>
        <w:rPr>
          <w:rFonts w:cs="David" w:hint="cs"/>
          <w:sz w:val="24"/>
          <w:szCs w:val="24"/>
          <w:rtl/>
        </w:rPr>
        <w:t xml:space="preserve"> במקרים מסוג זה:</w:t>
      </w:r>
    </w:p>
    <w:p w14:paraId="61538721"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הרשות המקומית מאפשרת ליזם להקים פרויקט, דוגמת גן ילדים, על מקרקעין שבבעלות הרשות המקומית, כאשר מלוא עלות ההקמה ועלות התפעול מוטלת על היזם ומנגד כל התמורות שתתקבלנה מהמשתמשים תהיינה של היזם. </w:t>
      </w:r>
    </w:p>
    <w:p w14:paraId="5C73F65F"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בתום התקופה שתקבע, המבנה יעבור לשימושה של הרשות המקומית ללא כל תמורה ליזם. המשמעות היא שלרשות מקומית לא תנבע הכנסה כלשהי מהפרויקט ומנגד היא לא תצטרך לשאת בעלויות כלשהן במשך כל התקופה עד לקבלת המבנה לחזקתה. </w:t>
      </w:r>
    </w:p>
    <w:p w14:paraId="67BF7E3D"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במקרה זה לא נוצרת לרשות המקומית מחויבות כספית כלשהי כלפי היזם ולפיכך אין להתקשרות כל השפעה על עומס המלוות שלה המוצג בנספחים לדוחות הכספיים. </w:t>
      </w:r>
    </w:p>
    <w:p w14:paraId="385AE14C" w14:textId="77777777" w:rsidR="005D56FE" w:rsidRDefault="005D56FE" w:rsidP="005D56FE">
      <w:pPr>
        <w:numPr>
          <w:ilvl w:val="4"/>
          <w:numId w:val="1"/>
        </w:numPr>
        <w:spacing w:after="0" w:line="360" w:lineRule="auto"/>
        <w:jc w:val="both"/>
        <w:rPr>
          <w:rFonts w:cs="David"/>
          <w:sz w:val="24"/>
          <w:szCs w:val="24"/>
        </w:rPr>
      </w:pPr>
      <w:r w:rsidRPr="00802F59">
        <w:rPr>
          <w:rFonts w:cs="David" w:hint="cs"/>
          <w:sz w:val="24"/>
          <w:szCs w:val="24"/>
          <w:rtl/>
        </w:rPr>
        <w:t>עם זאת, במקרים בהם מדובר בהתקשרות מהותית יש לתת לה ביטוי בב</w:t>
      </w:r>
      <w:r>
        <w:rPr>
          <w:rFonts w:cs="David" w:hint="cs"/>
          <w:sz w:val="24"/>
          <w:szCs w:val="24"/>
          <w:rtl/>
        </w:rPr>
        <w:t>י</w:t>
      </w:r>
      <w:r w:rsidRPr="00802F59">
        <w:rPr>
          <w:rFonts w:cs="David" w:hint="cs"/>
          <w:sz w:val="24"/>
          <w:szCs w:val="24"/>
          <w:rtl/>
        </w:rPr>
        <w:t>אורים לדוחות הכספיים, בהם תפורט מהות ההתקשרות ותמצית מהנתונים שבהסכם שנחתם על ידה עם היזם.</w:t>
      </w:r>
    </w:p>
    <w:p w14:paraId="41582C20" w14:textId="0FD03BB5" w:rsidR="005D56FE" w:rsidRDefault="005D56FE" w:rsidP="005D56FE">
      <w:pPr>
        <w:numPr>
          <w:ilvl w:val="3"/>
          <w:numId w:val="1"/>
        </w:numPr>
        <w:spacing w:after="0" w:line="360" w:lineRule="auto"/>
        <w:jc w:val="both"/>
        <w:rPr>
          <w:rFonts w:cs="David"/>
          <w:sz w:val="24"/>
          <w:szCs w:val="24"/>
        </w:rPr>
      </w:pPr>
      <w:r w:rsidRPr="00802F59">
        <w:rPr>
          <w:rFonts w:cs="David" w:hint="cs"/>
          <w:sz w:val="24"/>
          <w:szCs w:val="24"/>
          <w:rtl/>
        </w:rPr>
        <w:t>הקבוצה השנ</w:t>
      </w:r>
      <w:r>
        <w:rPr>
          <w:rFonts w:cs="David" w:hint="cs"/>
          <w:sz w:val="24"/>
          <w:szCs w:val="24"/>
          <w:rtl/>
        </w:rPr>
        <w:t>י</w:t>
      </w:r>
      <w:r w:rsidR="00F53D63">
        <w:rPr>
          <w:rFonts w:cs="David" w:hint="cs"/>
          <w:sz w:val="24"/>
          <w:szCs w:val="24"/>
          <w:rtl/>
        </w:rPr>
        <w:t>יה</w:t>
      </w:r>
      <w:r w:rsidRPr="00802F59">
        <w:rPr>
          <w:rFonts w:cs="David" w:hint="cs"/>
          <w:sz w:val="24"/>
          <w:szCs w:val="24"/>
          <w:rtl/>
        </w:rPr>
        <w:t xml:space="preserve"> </w:t>
      </w:r>
      <w:r w:rsidR="00F53D63">
        <w:rPr>
          <w:rFonts w:cs="David" w:hint="cs"/>
          <w:sz w:val="24"/>
          <w:szCs w:val="24"/>
          <w:rtl/>
        </w:rPr>
        <w:t xml:space="preserve">- </w:t>
      </w:r>
      <w:r w:rsidRPr="00802F59">
        <w:rPr>
          <w:rFonts w:cs="David" w:hint="cs"/>
          <w:sz w:val="24"/>
          <w:szCs w:val="24"/>
          <w:rtl/>
        </w:rPr>
        <w:t>פרויקטים מהם נגזרת התחייבות מצד הרשות המקומית כלפי היזם.</w:t>
      </w:r>
      <w:r w:rsidRPr="0068213C">
        <w:rPr>
          <w:rFonts w:cs="David" w:hint="cs"/>
          <w:sz w:val="24"/>
          <w:szCs w:val="24"/>
          <w:rtl/>
        </w:rPr>
        <w:t xml:space="preserve"> </w:t>
      </w:r>
      <w:r>
        <w:rPr>
          <w:rFonts w:cs="David" w:hint="cs"/>
          <w:sz w:val="24"/>
          <w:szCs w:val="24"/>
          <w:rtl/>
        </w:rPr>
        <w:t>במקרים מסוג זה:</w:t>
      </w:r>
    </w:p>
    <w:p w14:paraId="6EA18EE1"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הרשות המקומית מאפשרת ליזם להקים פרויקט, דוגמת מבנה משרדים עבור הרשות המקומית, אשר ישרת את הרשות המקומית תמורת "דמי שימוש" אשר ישולמו על ידה ליזם במהלך כל השנים עד למסירת המבנה לרשות המקומית ללא תמורה נוספת. </w:t>
      </w:r>
    </w:p>
    <w:p w14:paraId="46F343FA"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במקרה זה מדובר למעשה ב"נטילת הלוואה" על ידי הרשות המקומית מהיזם, אשר תפרע על ידה בדרך של תשלום "דמי שימוש" ליזם במהלך השנים. </w:t>
      </w:r>
    </w:p>
    <w:p w14:paraId="7D839992"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המשמעות היא הגדלת ההתחייבות של הרשות המקומית אשר תמצא ביטוי בנספחים לדוחות הכספיים כחלק מההתחייבויות החוץ מאזניות האחרות שלה.  </w:t>
      </w:r>
    </w:p>
    <w:p w14:paraId="3CA76861" w14:textId="77777777" w:rsidR="005D56FE" w:rsidRPr="00802F59" w:rsidRDefault="005D56FE" w:rsidP="005D56FE">
      <w:pPr>
        <w:numPr>
          <w:ilvl w:val="4"/>
          <w:numId w:val="1"/>
        </w:numPr>
        <w:spacing w:after="0" w:line="360" w:lineRule="auto"/>
        <w:jc w:val="both"/>
        <w:rPr>
          <w:rFonts w:cs="David"/>
          <w:sz w:val="24"/>
          <w:szCs w:val="24"/>
          <w:rtl/>
        </w:rPr>
      </w:pPr>
      <w:r w:rsidRPr="00802F59">
        <w:rPr>
          <w:rFonts w:cs="David" w:hint="cs"/>
          <w:sz w:val="24"/>
          <w:szCs w:val="24"/>
          <w:rtl/>
        </w:rPr>
        <w:t xml:space="preserve">מאחר שמדובר בהלוואה בעלת אופי שונה מההלוואות האחרות של הרשות המקומית, בין היתר משום שהיא לא נוצרה כתוצאה מקבלת אמצעים כספיים, התחייבות זו </w:t>
      </w:r>
      <w:proofErr w:type="spellStart"/>
      <w:r w:rsidRPr="00802F59">
        <w:rPr>
          <w:rFonts w:cs="David" w:hint="cs"/>
          <w:sz w:val="24"/>
          <w:szCs w:val="24"/>
          <w:rtl/>
        </w:rPr>
        <w:t>תשתקף</w:t>
      </w:r>
      <w:proofErr w:type="spellEnd"/>
      <w:r w:rsidRPr="00802F59">
        <w:rPr>
          <w:rFonts w:cs="David" w:hint="cs"/>
          <w:sz w:val="24"/>
          <w:szCs w:val="24"/>
          <w:rtl/>
        </w:rPr>
        <w:t xml:space="preserve"> בעומס המלוות בעמודה נפרדת שתוגדר כהתחייבות הנובעת מהתקשרות מסוג </w:t>
      </w:r>
      <w:r w:rsidRPr="00802F59">
        <w:rPr>
          <w:rFonts w:cs="David" w:hint="cs"/>
          <w:sz w:val="24"/>
          <w:szCs w:val="24"/>
        </w:rPr>
        <w:t>PPP</w:t>
      </w:r>
      <w:r w:rsidRPr="00802F59">
        <w:rPr>
          <w:rFonts w:cs="David" w:hint="cs"/>
          <w:sz w:val="24"/>
          <w:szCs w:val="24"/>
          <w:rtl/>
        </w:rPr>
        <w:t xml:space="preserve">. בנוסף, במקרים בהם מדובר בהתקשרות מהותית, יינתן לה ביטוי </w:t>
      </w:r>
      <w:proofErr w:type="spellStart"/>
      <w:r w:rsidRPr="00802F59">
        <w:rPr>
          <w:rFonts w:cs="David" w:hint="cs"/>
          <w:sz w:val="24"/>
          <w:szCs w:val="24"/>
          <w:rtl/>
        </w:rPr>
        <w:t>בבאורים</w:t>
      </w:r>
      <w:proofErr w:type="spellEnd"/>
      <w:r w:rsidRPr="00802F59">
        <w:rPr>
          <w:rFonts w:cs="David" w:hint="cs"/>
          <w:sz w:val="24"/>
          <w:szCs w:val="24"/>
          <w:rtl/>
        </w:rPr>
        <w:t xml:space="preserve"> לדוחות הכספיים בהם תפורט מהות </w:t>
      </w:r>
      <w:r w:rsidRPr="00802F59">
        <w:rPr>
          <w:rFonts w:cs="David" w:hint="cs"/>
          <w:sz w:val="24"/>
          <w:szCs w:val="24"/>
          <w:rtl/>
        </w:rPr>
        <w:lastRenderedPageBreak/>
        <w:t>ההתקשרות ותמצית מהנתונים בהסכם שנחתם על ידה עם היזם.</w:t>
      </w:r>
    </w:p>
    <w:p w14:paraId="7D5C3244" w14:textId="77777777" w:rsidR="005D56FE" w:rsidRPr="0068213C" w:rsidRDefault="005D56FE" w:rsidP="005D56FE">
      <w:pPr>
        <w:numPr>
          <w:ilvl w:val="3"/>
          <w:numId w:val="1"/>
        </w:numPr>
        <w:spacing w:after="0" w:line="360" w:lineRule="auto"/>
        <w:jc w:val="both"/>
        <w:rPr>
          <w:rFonts w:cs="David"/>
          <w:sz w:val="24"/>
          <w:szCs w:val="24"/>
          <w:rtl/>
        </w:rPr>
      </w:pPr>
      <w:r w:rsidRPr="00802F59">
        <w:rPr>
          <w:rFonts w:cs="David" w:hint="cs"/>
          <w:sz w:val="24"/>
          <w:szCs w:val="24"/>
          <w:rtl/>
        </w:rPr>
        <w:t>תיתכן גם אפשרות שלישית במקרים בהם מדובר בהתקשרות משולבת של שתי הקבוצות הראשונות. לדוגמא, היזם מקים מבנה משרדים אשר בחלקו יושכר על ידו לגופים שאינם הרשות המקומית (או גופי סמך) ובחלקו ישמש את הרש</w:t>
      </w:r>
      <w:r>
        <w:rPr>
          <w:rFonts w:cs="David" w:hint="cs"/>
          <w:sz w:val="24"/>
          <w:szCs w:val="24"/>
          <w:rtl/>
        </w:rPr>
        <w:t xml:space="preserve">ות המקומית תמורת "דמי שכירות". </w:t>
      </w:r>
      <w:r w:rsidRPr="0068213C">
        <w:rPr>
          <w:rFonts w:cs="David" w:hint="cs"/>
          <w:sz w:val="24"/>
          <w:szCs w:val="24"/>
          <w:rtl/>
        </w:rPr>
        <w:tab/>
        <w:t xml:space="preserve">במקרה זה נוצרת לרשות המקומית התחייבות רק לגבי החלק אשר ישמש אותה, אשר תמצא ביטוי בעומס המלוות שלה </w:t>
      </w:r>
      <w:proofErr w:type="spellStart"/>
      <w:r w:rsidRPr="0068213C">
        <w:rPr>
          <w:rFonts w:cs="David" w:hint="cs"/>
          <w:sz w:val="24"/>
          <w:szCs w:val="24"/>
          <w:rtl/>
        </w:rPr>
        <w:t>ובבאורים</w:t>
      </w:r>
      <w:proofErr w:type="spellEnd"/>
      <w:r w:rsidRPr="0068213C">
        <w:rPr>
          <w:rFonts w:cs="David" w:hint="cs"/>
          <w:sz w:val="24"/>
          <w:szCs w:val="24"/>
          <w:rtl/>
        </w:rPr>
        <w:t xml:space="preserve"> לדוחות הכספיים, על פי המפורט לגבי שתי הקבוצות הראשונות. </w:t>
      </w:r>
    </w:p>
    <w:p w14:paraId="55016385" w14:textId="77777777" w:rsidR="005D56FE" w:rsidRPr="00802F59" w:rsidRDefault="005D56FE" w:rsidP="005D56FE">
      <w:pPr>
        <w:numPr>
          <w:ilvl w:val="2"/>
          <w:numId w:val="1"/>
        </w:numPr>
        <w:spacing w:after="0" w:line="360" w:lineRule="auto"/>
        <w:jc w:val="both"/>
        <w:rPr>
          <w:rFonts w:cs="David"/>
          <w:sz w:val="24"/>
          <w:szCs w:val="24"/>
          <w:rtl/>
        </w:rPr>
      </w:pPr>
      <w:r w:rsidRPr="00802F59">
        <w:rPr>
          <w:rFonts w:cs="David" w:hint="cs"/>
          <w:sz w:val="24"/>
          <w:szCs w:val="24"/>
          <w:rtl/>
        </w:rPr>
        <w:t xml:space="preserve">בהתקשרויות אחרות בהן הרשות המקומית תקבל מהיזם דמי שימוש בקרקע, ההכנסה ברשות המקומית </w:t>
      </w:r>
      <w:proofErr w:type="spellStart"/>
      <w:r w:rsidRPr="00802F59">
        <w:rPr>
          <w:rFonts w:cs="David" w:hint="cs"/>
          <w:sz w:val="24"/>
          <w:szCs w:val="24"/>
          <w:rtl/>
        </w:rPr>
        <w:t>תרשם</w:t>
      </w:r>
      <w:proofErr w:type="spellEnd"/>
      <w:r w:rsidRPr="00802F59">
        <w:rPr>
          <w:rFonts w:cs="David" w:hint="cs"/>
          <w:sz w:val="24"/>
          <w:szCs w:val="24"/>
          <w:rtl/>
        </w:rPr>
        <w:t xml:space="preserve"> כהכנסה שוטפת כמו כל הכנסה אחרת המתקבלת מהשכרת נכסים. </w:t>
      </w:r>
    </w:p>
    <w:p w14:paraId="3153D93B" w14:textId="77777777" w:rsidR="005D56FE" w:rsidRPr="0068213C" w:rsidRDefault="005D56FE" w:rsidP="005D56FE">
      <w:pPr>
        <w:numPr>
          <w:ilvl w:val="2"/>
          <w:numId w:val="1"/>
        </w:numPr>
        <w:spacing w:after="0" w:line="360" w:lineRule="auto"/>
        <w:jc w:val="both"/>
        <w:rPr>
          <w:rFonts w:cs="David"/>
          <w:sz w:val="24"/>
          <w:szCs w:val="24"/>
        </w:rPr>
      </w:pPr>
      <w:r w:rsidRPr="00802F59">
        <w:rPr>
          <w:rFonts w:cs="David" w:hint="cs"/>
          <w:sz w:val="24"/>
          <w:szCs w:val="24"/>
          <w:rtl/>
        </w:rPr>
        <w:tab/>
        <w:t>במידה שמדובר בהתקשרות מהותית, יינתן לה ב</w:t>
      </w:r>
      <w:r>
        <w:rPr>
          <w:rFonts w:cs="David" w:hint="cs"/>
          <w:sz w:val="24"/>
          <w:szCs w:val="24"/>
          <w:rtl/>
        </w:rPr>
        <w:t xml:space="preserve">יטוי גם </w:t>
      </w:r>
      <w:proofErr w:type="spellStart"/>
      <w:r>
        <w:rPr>
          <w:rFonts w:cs="David" w:hint="cs"/>
          <w:sz w:val="24"/>
          <w:szCs w:val="24"/>
          <w:rtl/>
        </w:rPr>
        <w:t>בבאורים</w:t>
      </w:r>
      <w:proofErr w:type="spellEnd"/>
      <w:r>
        <w:rPr>
          <w:rFonts w:cs="David" w:hint="cs"/>
          <w:sz w:val="24"/>
          <w:szCs w:val="24"/>
          <w:rtl/>
        </w:rPr>
        <w:t xml:space="preserve"> לדוחות הכספיים כגון: </w:t>
      </w:r>
      <w:r>
        <w:rPr>
          <w:rFonts w:cs="David"/>
          <w:sz w:val="24"/>
          <w:szCs w:val="24"/>
          <w:rtl/>
        </w:rPr>
        <w:t>מועד חתימת ההסכם</w:t>
      </w:r>
      <w:r>
        <w:rPr>
          <w:rFonts w:cs="David" w:hint="cs"/>
          <w:sz w:val="24"/>
          <w:szCs w:val="24"/>
          <w:rtl/>
        </w:rPr>
        <w:t xml:space="preserve">, </w:t>
      </w:r>
      <w:r>
        <w:rPr>
          <w:rFonts w:cs="David"/>
          <w:sz w:val="24"/>
          <w:szCs w:val="24"/>
          <w:rtl/>
        </w:rPr>
        <w:t>תקופת ההתקשרות</w:t>
      </w:r>
      <w:r>
        <w:rPr>
          <w:rFonts w:cs="David" w:hint="cs"/>
          <w:sz w:val="24"/>
          <w:szCs w:val="24"/>
          <w:rtl/>
        </w:rPr>
        <w:t xml:space="preserve">, </w:t>
      </w:r>
      <w:r>
        <w:rPr>
          <w:rFonts w:cs="David"/>
          <w:sz w:val="24"/>
          <w:szCs w:val="24"/>
          <w:rtl/>
        </w:rPr>
        <w:t>הצדדים להסכם</w:t>
      </w:r>
      <w:r>
        <w:rPr>
          <w:rFonts w:cs="David" w:hint="cs"/>
          <w:sz w:val="24"/>
          <w:szCs w:val="24"/>
          <w:rtl/>
        </w:rPr>
        <w:t xml:space="preserve">, </w:t>
      </w:r>
      <w:r w:rsidRPr="0068213C">
        <w:rPr>
          <w:rFonts w:cs="David"/>
          <w:sz w:val="24"/>
          <w:szCs w:val="24"/>
          <w:rtl/>
        </w:rPr>
        <w:t>סימול המ</w:t>
      </w:r>
      <w:r>
        <w:rPr>
          <w:rFonts w:cs="David"/>
          <w:sz w:val="24"/>
          <w:szCs w:val="24"/>
          <w:rtl/>
        </w:rPr>
        <w:t>קרקעין (גוש, חלקה, מגרש ותכנית)</w:t>
      </w:r>
      <w:r>
        <w:rPr>
          <w:rFonts w:cs="David" w:hint="cs"/>
          <w:sz w:val="24"/>
          <w:szCs w:val="24"/>
          <w:rtl/>
        </w:rPr>
        <w:t xml:space="preserve">, </w:t>
      </w:r>
      <w:r w:rsidRPr="0068213C">
        <w:rPr>
          <w:rFonts w:cs="David"/>
          <w:sz w:val="24"/>
          <w:szCs w:val="24"/>
          <w:rtl/>
        </w:rPr>
        <w:t>פירוט תקבולים כולל במסגרת ההסכם וביחס לשנה שאליה מתייחס הדו"ח הכספי וכן סכום תק</w:t>
      </w:r>
      <w:r>
        <w:rPr>
          <w:rFonts w:cs="David"/>
          <w:sz w:val="24"/>
          <w:szCs w:val="24"/>
          <w:rtl/>
        </w:rPr>
        <w:t>בולים מצטבר נכון למועד תום השנה</w:t>
      </w:r>
      <w:r>
        <w:rPr>
          <w:rFonts w:cs="David" w:hint="cs"/>
          <w:sz w:val="24"/>
          <w:szCs w:val="24"/>
          <w:rtl/>
        </w:rPr>
        <w:t xml:space="preserve">, </w:t>
      </w:r>
      <w:r w:rsidRPr="0068213C">
        <w:rPr>
          <w:rFonts w:cs="David"/>
          <w:sz w:val="24"/>
          <w:szCs w:val="24"/>
          <w:rtl/>
        </w:rPr>
        <w:t>פירוט תשלומים כולל במסגרת ההסכם וביחס לשנה שאליה מתייחס הדו"ח הכספי וכן סכום תשלומים מצטבר נכון למועד תום השנה</w:t>
      </w:r>
      <w:r>
        <w:rPr>
          <w:rFonts w:cs="David" w:hint="cs"/>
          <w:sz w:val="24"/>
          <w:szCs w:val="24"/>
          <w:rtl/>
        </w:rPr>
        <w:t xml:space="preserve"> ופרטים נוספים שיימצאו לנכון</w:t>
      </w:r>
      <w:r w:rsidRPr="0068213C">
        <w:rPr>
          <w:rFonts w:cs="David"/>
          <w:sz w:val="24"/>
          <w:szCs w:val="24"/>
          <w:rtl/>
        </w:rPr>
        <w:t>.</w:t>
      </w:r>
    </w:p>
    <w:p w14:paraId="53441AA2" w14:textId="77777777" w:rsidR="005D56FE" w:rsidRPr="00F53D63" w:rsidRDefault="005D56FE" w:rsidP="005D56FE">
      <w:pPr>
        <w:numPr>
          <w:ilvl w:val="1"/>
          <w:numId w:val="1"/>
        </w:numPr>
        <w:spacing w:after="0" w:line="360" w:lineRule="auto"/>
        <w:jc w:val="both"/>
        <w:rPr>
          <w:rFonts w:cs="David"/>
          <w:b/>
          <w:bCs/>
          <w:sz w:val="24"/>
          <w:szCs w:val="24"/>
        </w:rPr>
      </w:pPr>
      <w:r w:rsidRPr="00F53D63">
        <w:rPr>
          <w:rFonts w:cs="David" w:hint="cs"/>
          <w:b/>
          <w:bCs/>
          <w:sz w:val="24"/>
          <w:szCs w:val="24"/>
          <w:rtl/>
        </w:rPr>
        <w:t>לוח זמנים לטיפול בבקשות:</w:t>
      </w:r>
    </w:p>
    <w:p w14:paraId="76BEAA5D" w14:textId="0F39E899" w:rsidR="005D56FE" w:rsidRDefault="005D56FE" w:rsidP="005D56FE">
      <w:pPr>
        <w:numPr>
          <w:ilvl w:val="2"/>
          <w:numId w:val="1"/>
        </w:numPr>
        <w:spacing w:after="0" w:line="360" w:lineRule="auto"/>
        <w:jc w:val="both"/>
        <w:rPr>
          <w:rFonts w:cs="David"/>
          <w:sz w:val="24"/>
          <w:szCs w:val="24"/>
        </w:rPr>
      </w:pPr>
      <w:r>
        <w:rPr>
          <w:rFonts w:cs="David" w:hint="cs"/>
          <w:sz w:val="24"/>
          <w:szCs w:val="24"/>
          <w:rtl/>
        </w:rPr>
        <w:t>אישור מקדמי יינתן על ידי אגף בכיר לבקרה, תקצוב ופיתוח תוך 21 ימים ממועד הגשת הבקשה וזאת בהינתן שלא נדרשו השלמות או הבהרות מצד הרשות המקומית ו/או התאגיד העירוני לעניין הבקשה.</w:t>
      </w:r>
      <w:r w:rsidR="0030271C">
        <w:rPr>
          <w:rFonts w:cs="David" w:hint="cs"/>
          <w:sz w:val="24"/>
          <w:szCs w:val="24"/>
          <w:rtl/>
        </w:rPr>
        <w:t xml:space="preserve"> למעט רשויות איתנות</w:t>
      </w:r>
      <w:r w:rsidR="00F53D63">
        <w:rPr>
          <w:rFonts w:cs="David" w:hint="cs"/>
          <w:sz w:val="24"/>
          <w:szCs w:val="24"/>
          <w:rtl/>
        </w:rPr>
        <w:t xml:space="preserve"> ו/או תאגידים שסווגו כאיתנים הפטורות מהצורך בקבלת אישור זה. </w:t>
      </w:r>
    </w:p>
    <w:p w14:paraId="0B9AB91C" w14:textId="77777777" w:rsidR="005D56FE" w:rsidRPr="00BA2D6F" w:rsidRDefault="005D56FE" w:rsidP="005D56FE">
      <w:pPr>
        <w:numPr>
          <w:ilvl w:val="2"/>
          <w:numId w:val="1"/>
        </w:numPr>
        <w:spacing w:after="0" w:line="360" w:lineRule="auto"/>
        <w:jc w:val="both"/>
        <w:rPr>
          <w:rFonts w:cs="David"/>
          <w:sz w:val="24"/>
          <w:szCs w:val="24"/>
          <w:rtl/>
        </w:rPr>
      </w:pPr>
      <w:r>
        <w:rPr>
          <w:rFonts w:cs="David" w:hint="cs"/>
          <w:sz w:val="24"/>
          <w:szCs w:val="24"/>
          <w:rtl/>
        </w:rPr>
        <w:t>אישור עקרוני יינתן על ידי משרד הפנים תוך 60 ימים ממועד הגשת הבקשה וזאת בהינתן שלא נדרשו השלמות או הבהרות מצד הרשות המקומית ו/או התאגיד העירוני לעניין הבקשה.</w:t>
      </w:r>
    </w:p>
    <w:p w14:paraId="49BC1C72" w14:textId="77777777" w:rsidR="005D56FE" w:rsidRDefault="005D56FE" w:rsidP="005D56FE">
      <w:pPr>
        <w:numPr>
          <w:ilvl w:val="2"/>
          <w:numId w:val="1"/>
        </w:numPr>
        <w:spacing w:after="0" w:line="360" w:lineRule="auto"/>
        <w:jc w:val="both"/>
        <w:rPr>
          <w:rFonts w:cs="David"/>
          <w:sz w:val="24"/>
          <w:szCs w:val="24"/>
        </w:rPr>
      </w:pPr>
      <w:r>
        <w:rPr>
          <w:rFonts w:cs="David" w:hint="cs"/>
          <w:sz w:val="24"/>
          <w:szCs w:val="24"/>
          <w:rtl/>
        </w:rPr>
        <w:t xml:space="preserve">אישור התקשרות (מטעם משרד הפנים) יינתן תוך 60 ימים ממועד הגשת הבקשה וזאת בהינתן שלא נדרשו השלמות או הבהרות מצד הרשות המקומית ו/או התאגיד העירוני לעניין הבקשה. </w:t>
      </w:r>
    </w:p>
    <w:p w14:paraId="509C20DF" w14:textId="77777777" w:rsidR="005D56FE" w:rsidRPr="00BA2D6F" w:rsidRDefault="005D56FE" w:rsidP="005D56FE">
      <w:pPr>
        <w:numPr>
          <w:ilvl w:val="2"/>
          <w:numId w:val="1"/>
        </w:numPr>
        <w:spacing w:after="0" w:line="360" w:lineRule="auto"/>
        <w:jc w:val="both"/>
        <w:rPr>
          <w:rFonts w:cs="David"/>
          <w:sz w:val="24"/>
          <w:szCs w:val="24"/>
          <w:rtl/>
        </w:rPr>
      </w:pPr>
      <w:r>
        <w:rPr>
          <w:rFonts w:cs="David" w:hint="cs"/>
          <w:sz w:val="24"/>
          <w:szCs w:val="24"/>
          <w:rtl/>
        </w:rPr>
        <w:t xml:space="preserve">אישור התקשרות (מטעם משרד האוצר) יינתן תוך 60 ימים ממועד הגשת הבקשה וזאת בהינתן שלא נדרשו השלמות או הבהרות מצד הרשות המקומית ו/או התאגיד העירוני לעניין הבקשה. </w:t>
      </w:r>
    </w:p>
    <w:p w14:paraId="10A5F497" w14:textId="77777777" w:rsidR="005D56FE" w:rsidRDefault="005D56FE" w:rsidP="005D56FE">
      <w:pPr>
        <w:ind w:left="1224"/>
        <w:rPr>
          <w:rFonts w:cs="David"/>
          <w:sz w:val="26"/>
          <w:szCs w:val="26"/>
          <w:rtl/>
        </w:rPr>
      </w:pPr>
    </w:p>
    <w:p w14:paraId="49A4F5B5" w14:textId="77777777" w:rsidR="005D56FE" w:rsidRDefault="005D56FE" w:rsidP="005D56FE">
      <w:pPr>
        <w:rPr>
          <w:rFonts w:cs="David"/>
          <w:sz w:val="26"/>
          <w:szCs w:val="26"/>
          <w:rtl/>
        </w:rPr>
      </w:pPr>
    </w:p>
    <w:p w14:paraId="0878198B" w14:textId="77777777" w:rsidR="005D56FE" w:rsidRDefault="005D56FE" w:rsidP="005D56FE">
      <w:pPr>
        <w:rPr>
          <w:rFonts w:cs="David"/>
          <w:sz w:val="26"/>
          <w:szCs w:val="26"/>
          <w:rtl/>
        </w:rPr>
      </w:pPr>
    </w:p>
    <w:p w14:paraId="1DB0C556" w14:textId="0D74D853" w:rsidR="005D56FE" w:rsidRPr="00F53D63" w:rsidRDefault="00F53D63" w:rsidP="00F53D63">
      <w:pPr>
        <w:numPr>
          <w:ilvl w:val="1"/>
          <w:numId w:val="1"/>
        </w:numPr>
        <w:spacing w:after="0" w:line="360" w:lineRule="auto"/>
        <w:jc w:val="both"/>
        <w:rPr>
          <w:rFonts w:cs="David"/>
          <w:b/>
          <w:bCs/>
          <w:sz w:val="24"/>
          <w:szCs w:val="24"/>
          <w:rtl/>
        </w:rPr>
      </w:pPr>
      <w:r w:rsidRPr="00F53D63">
        <w:rPr>
          <w:rFonts w:cs="David" w:hint="cs"/>
          <w:b/>
          <w:bCs/>
          <w:sz w:val="24"/>
          <w:szCs w:val="24"/>
          <w:rtl/>
        </w:rPr>
        <w:lastRenderedPageBreak/>
        <w:t>טבלת מסמכים נדרשים בשלבי הבקשה השונים</w:t>
      </w:r>
    </w:p>
    <w:tbl>
      <w:tblPr>
        <w:bidiVisual/>
        <w:tblW w:w="5836" w:type="pct"/>
        <w:tblLayout w:type="fixed"/>
        <w:tblLook w:val="04A0" w:firstRow="1" w:lastRow="0" w:firstColumn="1" w:lastColumn="0" w:noHBand="0" w:noVBand="1"/>
      </w:tblPr>
      <w:tblGrid>
        <w:gridCol w:w="706"/>
        <w:gridCol w:w="3975"/>
        <w:gridCol w:w="1630"/>
        <w:gridCol w:w="1060"/>
        <w:gridCol w:w="752"/>
        <w:gridCol w:w="1178"/>
      </w:tblGrid>
      <w:tr w:rsidR="002D57EB" w:rsidRPr="003C16E2" w14:paraId="379C83C8" w14:textId="77777777" w:rsidTr="002D57EB">
        <w:trPr>
          <w:trHeight w:hRule="exact" w:val="1074"/>
        </w:trPr>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8F349C" w14:textId="77777777" w:rsidR="005D56FE" w:rsidRPr="003C16E2" w:rsidRDefault="005D56FE" w:rsidP="00C20CFE">
            <w:pPr>
              <w:jc w:val="center"/>
              <w:rPr>
                <w:rFonts w:ascii="Arial" w:hAnsi="Arial" w:cs="Arial"/>
                <w:color w:val="000000"/>
              </w:rPr>
            </w:pPr>
            <w:proofErr w:type="spellStart"/>
            <w:r w:rsidRPr="003C16E2">
              <w:rPr>
                <w:rFonts w:ascii="Arial" w:hAnsi="Arial" w:cs="Arial"/>
                <w:color w:val="000000"/>
                <w:rtl/>
              </w:rPr>
              <w:t>מס"ד</w:t>
            </w:r>
            <w:proofErr w:type="spellEnd"/>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E1F946" w14:textId="77777777" w:rsidR="005D56FE" w:rsidRPr="003C16E2" w:rsidRDefault="005D56FE" w:rsidP="00C20CFE">
            <w:pPr>
              <w:jc w:val="center"/>
              <w:rPr>
                <w:rFonts w:ascii="Arial" w:hAnsi="Arial" w:cs="Arial"/>
                <w:color w:val="000000"/>
              </w:rPr>
            </w:pPr>
            <w:r w:rsidRPr="003C16E2">
              <w:rPr>
                <w:rFonts w:ascii="Arial" w:hAnsi="Arial" w:cs="Arial"/>
                <w:color w:val="000000"/>
                <w:rtl/>
              </w:rPr>
              <w:t>רכיב</w:t>
            </w:r>
          </w:p>
        </w:tc>
        <w:tc>
          <w:tcPr>
            <w:tcW w:w="87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24B98A" w14:textId="77777777" w:rsidR="005D56FE" w:rsidRPr="003C16E2" w:rsidRDefault="005D56FE" w:rsidP="00C20CFE">
            <w:pPr>
              <w:jc w:val="center"/>
              <w:rPr>
                <w:rFonts w:ascii="Arial" w:hAnsi="Arial" w:cs="Arial"/>
                <w:color w:val="000000"/>
              </w:rPr>
            </w:pPr>
            <w:r w:rsidRPr="003C16E2">
              <w:rPr>
                <w:rFonts w:ascii="Arial" w:hAnsi="Arial" w:cs="Arial"/>
                <w:color w:val="000000"/>
                <w:rtl/>
              </w:rPr>
              <w:t>ביטוי</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EA511" w14:textId="77777777" w:rsidR="005D56FE" w:rsidRPr="009D3F5A" w:rsidRDefault="005D56FE" w:rsidP="00C20CFE">
            <w:pPr>
              <w:jc w:val="center"/>
              <w:rPr>
                <w:rFonts w:ascii="Arial" w:hAnsi="Arial" w:cs="Arial"/>
                <w:color w:val="000000"/>
              </w:rPr>
            </w:pPr>
            <w:r w:rsidRPr="009D3F5A">
              <w:rPr>
                <w:rFonts w:ascii="Arial" w:hAnsi="Arial" w:cs="Arial"/>
                <w:color w:val="000000"/>
                <w:rtl/>
              </w:rPr>
              <w:t>אישור מקדמי</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3F7763" w14:textId="77777777" w:rsidR="005D56FE" w:rsidRPr="009D3F5A" w:rsidRDefault="005D56FE" w:rsidP="00C20CFE">
            <w:pPr>
              <w:jc w:val="center"/>
              <w:rPr>
                <w:rFonts w:ascii="Arial" w:hAnsi="Arial" w:cs="Arial"/>
                <w:color w:val="000000"/>
              </w:rPr>
            </w:pPr>
            <w:r w:rsidRPr="009D3F5A">
              <w:rPr>
                <w:rFonts w:ascii="Arial" w:hAnsi="Arial" w:cs="Arial"/>
                <w:color w:val="000000"/>
                <w:rtl/>
              </w:rPr>
              <w:t>אישור עקרוני</w:t>
            </w:r>
          </w:p>
        </w:tc>
        <w:tc>
          <w:tcPr>
            <w:tcW w:w="6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D3CE41" w14:textId="77777777" w:rsidR="005D56FE" w:rsidRPr="009D3F5A" w:rsidRDefault="005D56FE" w:rsidP="00C20CFE">
            <w:pPr>
              <w:jc w:val="center"/>
              <w:rPr>
                <w:rFonts w:ascii="Arial" w:hAnsi="Arial" w:cs="Arial"/>
                <w:color w:val="000000"/>
              </w:rPr>
            </w:pPr>
            <w:r w:rsidRPr="009D3F5A">
              <w:rPr>
                <w:rFonts w:ascii="Arial" w:hAnsi="Arial" w:cs="Arial"/>
                <w:color w:val="000000"/>
                <w:rtl/>
              </w:rPr>
              <w:t>אישור התקשרות</w:t>
            </w:r>
          </w:p>
        </w:tc>
      </w:tr>
      <w:tr w:rsidR="002D57EB" w:rsidRPr="003C16E2" w14:paraId="58E2DF08" w14:textId="77777777" w:rsidTr="002D57EB">
        <w:trPr>
          <w:trHeight w:hRule="exact" w:val="890"/>
        </w:trPr>
        <w:tc>
          <w:tcPr>
            <w:tcW w:w="380" w:type="pct"/>
            <w:tcBorders>
              <w:top w:val="nil"/>
              <w:left w:val="single" w:sz="4" w:space="0" w:color="auto"/>
              <w:bottom w:val="single" w:sz="4" w:space="0" w:color="auto"/>
              <w:right w:val="single" w:sz="4" w:space="0" w:color="auto"/>
            </w:tcBorders>
            <w:shd w:val="clear" w:color="auto" w:fill="auto"/>
            <w:noWrap/>
            <w:vAlign w:val="center"/>
          </w:tcPr>
          <w:p w14:paraId="0A78665A" w14:textId="77777777" w:rsidR="005D56FE" w:rsidRPr="003C16E2" w:rsidRDefault="005D56FE" w:rsidP="00C20CFE">
            <w:pPr>
              <w:bidi w:val="0"/>
              <w:jc w:val="center"/>
              <w:rPr>
                <w:rFonts w:ascii="Arial" w:hAnsi="Arial" w:cs="Arial"/>
                <w:color w:val="000000"/>
              </w:rPr>
            </w:pPr>
            <w:r>
              <w:rPr>
                <w:rFonts w:ascii="Arial" w:hAnsi="Arial" w:cs="Arial"/>
                <w:color w:val="000000"/>
              </w:rPr>
              <w:t>1</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7FB443D" w14:textId="77777777" w:rsidR="005D56FE" w:rsidRPr="003C16E2" w:rsidRDefault="005D56FE" w:rsidP="00C20CFE">
            <w:pPr>
              <w:jc w:val="center"/>
              <w:rPr>
                <w:rFonts w:ascii="Arial" w:hAnsi="Arial" w:cs="David"/>
                <w:b/>
                <w:bCs/>
                <w:color w:val="000000"/>
                <w:sz w:val="24"/>
                <w:szCs w:val="24"/>
                <w:rtl/>
              </w:rPr>
            </w:pPr>
            <w:r>
              <w:rPr>
                <w:rFonts w:ascii="Arial" w:hAnsi="Arial" w:cs="David" w:hint="cs"/>
                <w:b/>
                <w:bCs/>
                <w:color w:val="000000"/>
                <w:sz w:val="24"/>
                <w:szCs w:val="24"/>
                <w:rtl/>
              </w:rPr>
              <w:t>היתכנות תכנונית</w:t>
            </w:r>
          </w:p>
        </w:tc>
        <w:tc>
          <w:tcPr>
            <w:tcW w:w="87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75C52F" w14:textId="77777777" w:rsidR="005D56FE" w:rsidRPr="005A37C6" w:rsidRDefault="005D56FE" w:rsidP="00C20CFE">
            <w:pPr>
              <w:jc w:val="center"/>
              <w:rPr>
                <w:rFonts w:ascii="Arial" w:hAnsi="Arial" w:cs="Arial"/>
                <w:color w:val="000000"/>
                <w:rtl/>
              </w:rPr>
            </w:pPr>
            <w:r>
              <w:rPr>
                <w:rFonts w:ascii="Arial" w:hAnsi="Arial" w:cs="Arial" w:hint="cs"/>
                <w:color w:val="000000"/>
                <w:rtl/>
              </w:rPr>
              <w:t>חוות דעת מהנדס העיר</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A1A5A90"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tcPr>
          <w:p w14:paraId="601132E2" w14:textId="77777777" w:rsidR="005D56FE" w:rsidRPr="003C16E2" w:rsidRDefault="005D56FE" w:rsidP="00C20CFE">
            <w:pPr>
              <w:bidi w:val="0"/>
              <w:jc w:val="center"/>
              <w:rPr>
                <w:rFonts w:ascii="Arial" w:hAnsi="Arial" w:cs="Arial"/>
                <w:color w:val="000000"/>
              </w:rPr>
            </w:pP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0ED9E996" w14:textId="77777777" w:rsidR="005D56FE" w:rsidRPr="003C16E2" w:rsidRDefault="005D56FE" w:rsidP="00C20CFE">
            <w:pPr>
              <w:bidi w:val="0"/>
              <w:jc w:val="center"/>
              <w:rPr>
                <w:rFonts w:ascii="Arial" w:hAnsi="Arial" w:cs="Arial"/>
                <w:color w:val="000000"/>
              </w:rPr>
            </w:pPr>
          </w:p>
        </w:tc>
      </w:tr>
      <w:tr w:rsidR="002D57EB" w:rsidRPr="003C16E2" w14:paraId="0C81C45F" w14:textId="77777777" w:rsidTr="002D57EB">
        <w:trPr>
          <w:trHeight w:hRule="exact" w:val="718"/>
        </w:trPr>
        <w:tc>
          <w:tcPr>
            <w:tcW w:w="380" w:type="pct"/>
            <w:tcBorders>
              <w:top w:val="nil"/>
              <w:left w:val="single" w:sz="4" w:space="0" w:color="auto"/>
              <w:bottom w:val="single" w:sz="4" w:space="0" w:color="auto"/>
              <w:right w:val="single" w:sz="4" w:space="0" w:color="auto"/>
            </w:tcBorders>
            <w:shd w:val="clear" w:color="auto" w:fill="auto"/>
            <w:noWrap/>
            <w:vAlign w:val="center"/>
          </w:tcPr>
          <w:p w14:paraId="129310F2" w14:textId="77777777" w:rsidR="005D56FE" w:rsidRPr="003C16E2" w:rsidRDefault="005D56FE" w:rsidP="00C20CFE">
            <w:pPr>
              <w:bidi w:val="0"/>
              <w:jc w:val="center"/>
              <w:rPr>
                <w:rFonts w:ascii="Arial" w:hAnsi="Arial" w:cs="Arial"/>
                <w:color w:val="000000"/>
              </w:rPr>
            </w:pPr>
            <w:r>
              <w:rPr>
                <w:rFonts w:ascii="Arial" w:hAnsi="Arial" w:cs="Arial"/>
                <w:color w:val="000000"/>
              </w:rPr>
              <w:t>2</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FDE1FE" w14:textId="77777777" w:rsidR="005D56FE" w:rsidRPr="003C16E2" w:rsidRDefault="005D56FE" w:rsidP="00C20CFE">
            <w:pPr>
              <w:jc w:val="center"/>
              <w:rPr>
                <w:rFonts w:ascii="Arial" w:hAnsi="Arial" w:cs="David"/>
                <w:b/>
                <w:bCs/>
                <w:color w:val="000000"/>
                <w:sz w:val="24"/>
                <w:szCs w:val="24"/>
                <w:rtl/>
              </w:rPr>
            </w:pPr>
            <w:r>
              <w:rPr>
                <w:rFonts w:ascii="Arial" w:hAnsi="Arial" w:cs="David" w:hint="cs"/>
                <w:b/>
                <w:bCs/>
                <w:color w:val="000000"/>
                <w:sz w:val="24"/>
                <w:szCs w:val="24"/>
                <w:rtl/>
              </w:rPr>
              <w:t>נסח רישום או מסמך אחר המעיד על בעלות הרשות המקומית בנכס</w:t>
            </w:r>
          </w:p>
        </w:tc>
        <w:tc>
          <w:tcPr>
            <w:tcW w:w="876" w:type="pct"/>
            <w:tcBorders>
              <w:top w:val="single" w:sz="4" w:space="0" w:color="auto"/>
              <w:left w:val="single" w:sz="4" w:space="0" w:color="auto"/>
              <w:right w:val="single" w:sz="4" w:space="0" w:color="auto"/>
            </w:tcBorders>
            <w:shd w:val="clear" w:color="auto" w:fill="auto"/>
            <w:noWrap/>
            <w:vAlign w:val="center"/>
          </w:tcPr>
          <w:p w14:paraId="5CD38B16" w14:textId="77777777" w:rsidR="005D56FE" w:rsidRPr="005A37C6" w:rsidRDefault="005D56FE" w:rsidP="00C20CFE">
            <w:pPr>
              <w:jc w:val="center"/>
              <w:rPr>
                <w:rFonts w:ascii="Arial" w:hAnsi="Arial" w:cs="Arial"/>
                <w:color w:val="000000"/>
                <w:rtl/>
              </w:rPr>
            </w:pPr>
            <w:r>
              <w:rPr>
                <w:rFonts w:ascii="Arial" w:hAnsi="Arial" w:cs="Arial" w:hint="cs"/>
                <w:color w:val="000000"/>
                <w:rtl/>
              </w:rPr>
              <w:t>אסמכתא לבעלות</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8BC593"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tcPr>
          <w:p w14:paraId="1F27788A" w14:textId="77777777" w:rsidR="005D56FE" w:rsidRPr="003C16E2" w:rsidRDefault="005D56FE" w:rsidP="00C20CFE">
            <w:pPr>
              <w:bidi w:val="0"/>
              <w:jc w:val="center"/>
              <w:rPr>
                <w:rFonts w:ascii="Arial" w:hAnsi="Arial" w:cs="Arial"/>
                <w:color w:val="000000"/>
              </w:rPr>
            </w:pP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4847FB55" w14:textId="77777777" w:rsidR="005D56FE" w:rsidRPr="003C16E2" w:rsidRDefault="005D56FE" w:rsidP="00C20CFE">
            <w:pPr>
              <w:bidi w:val="0"/>
              <w:jc w:val="center"/>
              <w:rPr>
                <w:rFonts w:ascii="Arial" w:hAnsi="Arial" w:cs="Arial"/>
                <w:color w:val="000000"/>
              </w:rPr>
            </w:pPr>
          </w:p>
        </w:tc>
      </w:tr>
      <w:tr w:rsidR="002D57EB" w:rsidRPr="003C16E2" w14:paraId="797F04E1" w14:textId="77777777" w:rsidTr="002D57EB">
        <w:trPr>
          <w:trHeight w:hRule="exact" w:val="907"/>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695737D7" w14:textId="77777777" w:rsidR="005D56FE" w:rsidRPr="003C16E2" w:rsidRDefault="005D56FE" w:rsidP="00C20CFE">
            <w:pPr>
              <w:bidi w:val="0"/>
              <w:jc w:val="center"/>
              <w:rPr>
                <w:rFonts w:ascii="Arial" w:hAnsi="Arial" w:cs="Arial"/>
                <w:color w:val="000000"/>
              </w:rPr>
            </w:pPr>
            <w:r>
              <w:rPr>
                <w:rFonts w:ascii="Arial" w:hAnsi="Arial" w:cs="Arial"/>
                <w:color w:val="000000"/>
              </w:rPr>
              <w:t>3</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06304F" w14:textId="77777777" w:rsidR="005D56FE" w:rsidRPr="003C16E2" w:rsidRDefault="005D56FE" w:rsidP="00C20CFE">
            <w:pPr>
              <w:jc w:val="center"/>
              <w:rPr>
                <w:rFonts w:ascii="Arial" w:hAnsi="Arial" w:cs="David"/>
                <w:b/>
                <w:bCs/>
                <w:color w:val="000000"/>
                <w:sz w:val="24"/>
                <w:szCs w:val="24"/>
                <w:rtl/>
              </w:rPr>
            </w:pPr>
            <w:r w:rsidRPr="003C16E2">
              <w:rPr>
                <w:rFonts w:ascii="Arial" w:hAnsi="Arial" w:cs="David" w:hint="cs"/>
                <w:b/>
                <w:bCs/>
                <w:color w:val="000000"/>
                <w:sz w:val="24"/>
                <w:szCs w:val="24"/>
                <w:rtl/>
              </w:rPr>
              <w:t>חובת בחינת חלופות</w:t>
            </w:r>
            <w:r>
              <w:rPr>
                <w:rFonts w:ascii="Arial" w:hAnsi="Arial" w:cs="David" w:hint="cs"/>
                <w:b/>
                <w:bCs/>
                <w:color w:val="000000"/>
                <w:sz w:val="24"/>
                <w:szCs w:val="24"/>
                <w:rtl/>
              </w:rPr>
              <w:t xml:space="preserve"> </w:t>
            </w:r>
            <w:r w:rsidRPr="009D3F5A">
              <w:rPr>
                <w:rFonts w:ascii="Arial" w:hAnsi="Arial" w:cs="David" w:hint="cs"/>
                <w:color w:val="000000"/>
                <w:rtl/>
              </w:rPr>
              <w:t>(כולל חלופת תקצוב ציבורי של מלוא הפרויקט)</w:t>
            </w:r>
            <w:r w:rsidRPr="009D3F5A">
              <w:rPr>
                <w:rFonts w:ascii="Arial" w:hAnsi="Arial" w:cs="David" w:hint="cs"/>
                <w:b/>
                <w:bCs/>
                <w:color w:val="000000"/>
                <w:sz w:val="28"/>
                <w:szCs w:val="28"/>
                <w:rtl/>
              </w:rPr>
              <w:t xml:space="preserve"> </w:t>
            </w:r>
            <w:r>
              <w:rPr>
                <w:rFonts w:ascii="Arial" w:hAnsi="Arial" w:cs="David" w:hint="cs"/>
                <w:b/>
                <w:bCs/>
                <w:color w:val="000000"/>
                <w:sz w:val="24"/>
                <w:szCs w:val="24"/>
                <w:rtl/>
              </w:rPr>
              <w:t>לרבות ניתוח כדאיות, תועלת ותמורה של כל חלופה</w:t>
            </w:r>
          </w:p>
        </w:tc>
        <w:tc>
          <w:tcPr>
            <w:tcW w:w="876" w:type="pct"/>
            <w:vMerge w:val="restart"/>
            <w:tcBorders>
              <w:top w:val="single" w:sz="4" w:space="0" w:color="auto"/>
              <w:left w:val="single" w:sz="4" w:space="0" w:color="auto"/>
              <w:right w:val="single" w:sz="4" w:space="0" w:color="auto"/>
            </w:tcBorders>
            <w:shd w:val="clear" w:color="auto" w:fill="auto"/>
            <w:noWrap/>
            <w:vAlign w:val="center"/>
            <w:hideMark/>
          </w:tcPr>
          <w:p w14:paraId="5278348B" w14:textId="77777777" w:rsidR="005D56FE" w:rsidRPr="005A37C6" w:rsidRDefault="005D56FE" w:rsidP="00C20CFE">
            <w:pPr>
              <w:jc w:val="center"/>
              <w:rPr>
                <w:rFonts w:ascii="Arial" w:hAnsi="Arial" w:cs="Arial"/>
                <w:color w:val="000000"/>
              </w:rPr>
            </w:pPr>
            <w:r w:rsidRPr="005A37C6">
              <w:rPr>
                <w:rFonts w:ascii="Arial" w:hAnsi="Arial" w:cs="Arial"/>
                <w:color w:val="000000"/>
                <w:rtl/>
              </w:rPr>
              <w:t>מסמך</w:t>
            </w:r>
            <w:r>
              <w:rPr>
                <w:rFonts w:ascii="Arial" w:hAnsi="Arial" w:cs="Arial" w:hint="cs"/>
                <w:color w:val="000000"/>
                <w:rtl/>
              </w:rPr>
              <w:t xml:space="preserve"> בחינת חלופות</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849D46"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42926C08" w14:textId="77777777" w:rsidR="005D56FE" w:rsidRPr="003C16E2" w:rsidRDefault="005D56FE" w:rsidP="00C20CFE">
            <w:pPr>
              <w:bidi w:val="0"/>
              <w:jc w:val="center"/>
              <w:rPr>
                <w:rFonts w:ascii="Arial" w:hAnsi="Arial" w:cs="Arial"/>
                <w:color w:val="000000"/>
              </w:rPr>
            </w:pP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6475470" w14:textId="77777777" w:rsidR="005D56FE" w:rsidRPr="003C16E2" w:rsidRDefault="005D56FE" w:rsidP="00C20CFE">
            <w:pPr>
              <w:bidi w:val="0"/>
              <w:jc w:val="center"/>
              <w:rPr>
                <w:rFonts w:ascii="Arial" w:hAnsi="Arial" w:cs="Arial"/>
                <w:color w:val="000000"/>
              </w:rPr>
            </w:pPr>
          </w:p>
        </w:tc>
      </w:tr>
      <w:tr w:rsidR="002D57EB" w:rsidRPr="003C16E2" w14:paraId="12A9F7EB"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18EB34C9" w14:textId="77777777" w:rsidR="005D56FE" w:rsidRPr="003C16E2" w:rsidRDefault="005D56FE" w:rsidP="00C20CFE">
            <w:pPr>
              <w:bidi w:val="0"/>
              <w:jc w:val="center"/>
              <w:rPr>
                <w:rFonts w:ascii="Arial" w:hAnsi="Arial" w:cs="Arial"/>
                <w:color w:val="000000"/>
              </w:rPr>
            </w:pPr>
            <w:r>
              <w:rPr>
                <w:rFonts w:ascii="Arial" w:hAnsi="Arial" w:cs="Arial"/>
                <w:color w:val="000000"/>
              </w:rPr>
              <w:t>4</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1254BF0A" w14:textId="77777777" w:rsidR="005D56FE" w:rsidRPr="003C16E2" w:rsidRDefault="005D56FE" w:rsidP="00C20CFE">
            <w:pPr>
              <w:jc w:val="center"/>
              <w:rPr>
                <w:rFonts w:ascii="Arial" w:hAnsi="Arial" w:cs="David"/>
                <w:b/>
                <w:bCs/>
                <w:color w:val="000000"/>
                <w:sz w:val="24"/>
                <w:szCs w:val="24"/>
              </w:rPr>
            </w:pPr>
            <w:r w:rsidRPr="003C16E2">
              <w:rPr>
                <w:rFonts w:ascii="Arial" w:hAnsi="Arial" w:cs="David" w:hint="cs"/>
                <w:b/>
                <w:bCs/>
                <w:color w:val="000000"/>
                <w:sz w:val="24"/>
                <w:szCs w:val="24"/>
                <w:rtl/>
              </w:rPr>
              <w:t>כדאיות כלכלית</w:t>
            </w:r>
          </w:p>
        </w:tc>
        <w:tc>
          <w:tcPr>
            <w:tcW w:w="876" w:type="pct"/>
            <w:vMerge/>
            <w:tcBorders>
              <w:left w:val="single" w:sz="4" w:space="0" w:color="auto"/>
              <w:right w:val="single" w:sz="4" w:space="0" w:color="auto"/>
            </w:tcBorders>
            <w:shd w:val="clear" w:color="auto" w:fill="auto"/>
            <w:noWrap/>
            <w:vAlign w:val="center"/>
          </w:tcPr>
          <w:p w14:paraId="5831A910" w14:textId="77777777" w:rsidR="005D56FE" w:rsidRPr="005A37C6" w:rsidRDefault="005D56FE" w:rsidP="00C20CFE">
            <w:pPr>
              <w:jc w:val="cente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042FC121"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3710BB32"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17EA4D73"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r>
      <w:tr w:rsidR="002D57EB" w:rsidRPr="003C16E2" w14:paraId="60497319"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1D989C42" w14:textId="77777777" w:rsidR="005D56FE" w:rsidRPr="003C16E2" w:rsidRDefault="005D56FE" w:rsidP="00C20CFE">
            <w:pPr>
              <w:bidi w:val="0"/>
              <w:jc w:val="center"/>
              <w:rPr>
                <w:rFonts w:ascii="Arial" w:hAnsi="Arial" w:cs="Arial"/>
                <w:color w:val="000000"/>
              </w:rPr>
            </w:pPr>
            <w:r>
              <w:rPr>
                <w:rFonts w:ascii="Arial" w:hAnsi="Arial" w:cs="Arial"/>
                <w:color w:val="000000"/>
              </w:rPr>
              <w:t>5</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02AF5810" w14:textId="77777777" w:rsidR="005D56FE" w:rsidRPr="003C16E2" w:rsidRDefault="005D56FE" w:rsidP="00C20CFE">
            <w:pPr>
              <w:jc w:val="center"/>
              <w:rPr>
                <w:rFonts w:ascii="Arial" w:hAnsi="Arial" w:cs="David"/>
                <w:b/>
                <w:bCs/>
                <w:color w:val="000000"/>
                <w:sz w:val="24"/>
                <w:szCs w:val="24"/>
                <w:rtl/>
              </w:rPr>
            </w:pPr>
            <w:r w:rsidRPr="003C16E2">
              <w:rPr>
                <w:rFonts w:ascii="Arial" w:hAnsi="Arial" w:cs="David" w:hint="cs"/>
                <w:b/>
                <w:bCs/>
                <w:color w:val="000000"/>
                <w:sz w:val="24"/>
                <w:szCs w:val="24"/>
                <w:rtl/>
              </w:rPr>
              <w:t>תועלות / תמורה</w:t>
            </w:r>
          </w:p>
        </w:tc>
        <w:tc>
          <w:tcPr>
            <w:tcW w:w="876" w:type="pct"/>
            <w:vMerge/>
            <w:tcBorders>
              <w:left w:val="single" w:sz="4" w:space="0" w:color="auto"/>
              <w:right w:val="single" w:sz="4" w:space="0" w:color="auto"/>
            </w:tcBorders>
            <w:shd w:val="clear" w:color="auto" w:fill="auto"/>
            <w:noWrap/>
            <w:vAlign w:val="center"/>
          </w:tcPr>
          <w:p w14:paraId="1BD20740" w14:textId="77777777" w:rsidR="005D56FE" w:rsidRPr="005A37C6" w:rsidRDefault="005D56FE" w:rsidP="00C20CFE">
            <w:pPr>
              <w:jc w:val="cente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636CE6E3"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63E26BA1"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047DF2D"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r>
      <w:tr w:rsidR="002D57EB" w:rsidRPr="003C16E2" w14:paraId="179C070B"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7CD1774C" w14:textId="77777777" w:rsidR="005D56FE" w:rsidRPr="003C16E2" w:rsidRDefault="005D56FE" w:rsidP="00C20CFE">
            <w:pPr>
              <w:bidi w:val="0"/>
              <w:jc w:val="center"/>
              <w:rPr>
                <w:rFonts w:ascii="Arial" w:hAnsi="Arial" w:cs="Arial"/>
                <w:color w:val="000000"/>
              </w:rPr>
            </w:pPr>
            <w:r>
              <w:rPr>
                <w:rFonts w:ascii="Arial" w:hAnsi="Arial" w:cs="Arial"/>
                <w:color w:val="000000"/>
              </w:rPr>
              <w:t>6</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0ADA9872" w14:textId="77777777" w:rsidR="005D56FE" w:rsidRPr="003C16E2" w:rsidRDefault="005D56FE" w:rsidP="00C20CFE">
            <w:pPr>
              <w:jc w:val="center"/>
              <w:rPr>
                <w:rFonts w:ascii="Arial" w:hAnsi="Arial" w:cs="David"/>
                <w:b/>
                <w:bCs/>
                <w:color w:val="000000"/>
                <w:sz w:val="24"/>
                <w:szCs w:val="24"/>
              </w:rPr>
            </w:pPr>
            <w:r w:rsidRPr="003C16E2">
              <w:rPr>
                <w:rFonts w:ascii="Arial" w:hAnsi="Arial" w:cs="David" w:hint="cs"/>
                <w:b/>
                <w:bCs/>
                <w:color w:val="000000"/>
                <w:sz w:val="24"/>
                <w:szCs w:val="24"/>
                <w:rtl/>
              </w:rPr>
              <w:t>ניתוח סיכונים</w:t>
            </w:r>
          </w:p>
        </w:tc>
        <w:tc>
          <w:tcPr>
            <w:tcW w:w="876" w:type="pct"/>
            <w:vMerge/>
            <w:tcBorders>
              <w:left w:val="single" w:sz="4" w:space="0" w:color="auto"/>
              <w:right w:val="single" w:sz="4" w:space="0" w:color="auto"/>
            </w:tcBorders>
            <w:shd w:val="clear" w:color="auto" w:fill="auto"/>
            <w:noWrap/>
            <w:vAlign w:val="center"/>
          </w:tcPr>
          <w:p w14:paraId="7F170E60" w14:textId="77777777" w:rsidR="005D56FE" w:rsidRPr="005A37C6" w:rsidRDefault="005D56FE" w:rsidP="00C20CFE">
            <w:pPr>
              <w:jc w:val="cente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328F6539"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422B085C"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7EC844C"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r>
      <w:tr w:rsidR="002D57EB" w:rsidRPr="003C16E2" w14:paraId="2CDA665D"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57C6E3A6" w14:textId="77777777" w:rsidR="005D56FE" w:rsidRPr="003C16E2" w:rsidRDefault="005D56FE" w:rsidP="00C20CFE">
            <w:pPr>
              <w:bidi w:val="0"/>
              <w:jc w:val="center"/>
              <w:rPr>
                <w:rFonts w:ascii="Arial" w:hAnsi="Arial" w:cs="Arial"/>
                <w:color w:val="000000"/>
              </w:rPr>
            </w:pPr>
            <w:r>
              <w:rPr>
                <w:rFonts w:ascii="Arial" w:hAnsi="Arial" w:cs="Arial"/>
                <w:color w:val="000000"/>
              </w:rPr>
              <w:t>7</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0418290E" w14:textId="77777777" w:rsidR="005D56FE" w:rsidRPr="003C16E2" w:rsidRDefault="005D56FE" w:rsidP="00C20CFE">
            <w:pPr>
              <w:jc w:val="center"/>
              <w:rPr>
                <w:rFonts w:ascii="Arial" w:hAnsi="Arial" w:cs="David"/>
                <w:b/>
                <w:bCs/>
                <w:color w:val="000000"/>
                <w:sz w:val="24"/>
                <w:szCs w:val="24"/>
              </w:rPr>
            </w:pPr>
            <w:r w:rsidRPr="003C16E2">
              <w:rPr>
                <w:rFonts w:ascii="Arial" w:hAnsi="Arial" w:cs="David" w:hint="cs"/>
                <w:b/>
                <w:bCs/>
                <w:color w:val="000000"/>
                <w:sz w:val="24"/>
                <w:szCs w:val="24"/>
                <w:rtl/>
              </w:rPr>
              <w:t>הצגת חסמים מרכזיים</w:t>
            </w:r>
          </w:p>
        </w:tc>
        <w:tc>
          <w:tcPr>
            <w:tcW w:w="876" w:type="pct"/>
            <w:vMerge/>
            <w:tcBorders>
              <w:left w:val="single" w:sz="4" w:space="0" w:color="auto"/>
              <w:bottom w:val="single" w:sz="4" w:space="0" w:color="auto"/>
              <w:right w:val="single" w:sz="4" w:space="0" w:color="auto"/>
            </w:tcBorders>
            <w:shd w:val="clear" w:color="auto" w:fill="auto"/>
            <w:noWrap/>
            <w:vAlign w:val="center"/>
          </w:tcPr>
          <w:p w14:paraId="2DEBB815" w14:textId="77777777" w:rsidR="005D56FE" w:rsidRPr="005A37C6" w:rsidRDefault="005D56FE" w:rsidP="00C20CFE">
            <w:pPr>
              <w:jc w:val="cente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4701C7BC"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2A58436D"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171F750E"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 </w:t>
            </w:r>
          </w:p>
        </w:tc>
      </w:tr>
      <w:tr w:rsidR="002D57EB" w:rsidRPr="003C16E2" w14:paraId="4E58DFF8"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5195D42D" w14:textId="77777777" w:rsidR="002D57EB" w:rsidRPr="003C16E2" w:rsidRDefault="002D57EB" w:rsidP="00C20CFE">
            <w:pPr>
              <w:bidi w:val="0"/>
              <w:jc w:val="center"/>
              <w:rPr>
                <w:rFonts w:ascii="Arial" w:hAnsi="Arial" w:cs="Arial"/>
                <w:color w:val="000000"/>
              </w:rPr>
            </w:pPr>
            <w:r>
              <w:rPr>
                <w:rFonts w:ascii="Arial" w:hAnsi="Arial" w:cs="Arial"/>
                <w:color w:val="000000"/>
              </w:rPr>
              <w:t>8</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7BF9ACBE" w14:textId="77777777" w:rsidR="002D57EB" w:rsidRPr="003C16E2" w:rsidRDefault="002D57EB" w:rsidP="00C20CFE">
            <w:pPr>
              <w:jc w:val="center"/>
              <w:rPr>
                <w:rFonts w:ascii="Arial" w:hAnsi="Arial" w:cs="David"/>
                <w:b/>
                <w:bCs/>
                <w:color w:val="000000"/>
                <w:sz w:val="24"/>
                <w:szCs w:val="24"/>
              </w:rPr>
            </w:pPr>
            <w:r w:rsidRPr="003C16E2">
              <w:rPr>
                <w:rFonts w:ascii="Arial" w:hAnsi="Arial" w:cs="David" w:hint="cs"/>
                <w:b/>
                <w:bCs/>
                <w:color w:val="000000"/>
                <w:sz w:val="24"/>
                <w:szCs w:val="24"/>
                <w:rtl/>
              </w:rPr>
              <w:t>הצגת התמורה</w:t>
            </w:r>
          </w:p>
        </w:tc>
        <w:tc>
          <w:tcPr>
            <w:tcW w:w="876" w:type="pct"/>
            <w:vMerge w:val="restart"/>
            <w:tcBorders>
              <w:top w:val="nil"/>
              <w:left w:val="single" w:sz="4" w:space="0" w:color="auto"/>
              <w:right w:val="single" w:sz="4" w:space="0" w:color="auto"/>
            </w:tcBorders>
            <w:shd w:val="clear" w:color="auto" w:fill="auto"/>
            <w:noWrap/>
            <w:vAlign w:val="center"/>
            <w:hideMark/>
          </w:tcPr>
          <w:p w14:paraId="3464F288" w14:textId="77777777" w:rsidR="002D57EB" w:rsidRPr="005A37C6" w:rsidRDefault="002D57EB" w:rsidP="00C20CFE">
            <w:pPr>
              <w:jc w:val="center"/>
              <w:rPr>
                <w:rFonts w:ascii="Arial" w:hAnsi="Arial" w:cs="Arial"/>
                <w:color w:val="000000"/>
              </w:rPr>
            </w:pPr>
            <w:r w:rsidRPr="005C4840">
              <w:rPr>
                <w:rFonts w:ascii="Arial" w:hAnsi="Arial" w:cs="Arial" w:hint="cs"/>
                <w:color w:val="000000"/>
                <w:sz w:val="16"/>
                <w:szCs w:val="16"/>
                <w:rtl/>
              </w:rPr>
              <w:t>טיוטת הסכם ההתקשרות</w:t>
            </w: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1FB9087A" w14:textId="77777777" w:rsidR="002D57EB" w:rsidRPr="003C16E2" w:rsidRDefault="002D57EB" w:rsidP="00C20CFE">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1886E539"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A147854"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w:t>
            </w:r>
          </w:p>
        </w:tc>
      </w:tr>
      <w:tr w:rsidR="002D57EB" w:rsidRPr="003C16E2" w14:paraId="7750DC51" w14:textId="77777777" w:rsidTr="002D57EB">
        <w:trPr>
          <w:trHeight w:hRule="exact" w:val="427"/>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42950270" w14:textId="77777777" w:rsidR="002D57EB" w:rsidRPr="003C16E2" w:rsidRDefault="002D57EB" w:rsidP="00C20CFE">
            <w:pPr>
              <w:bidi w:val="0"/>
              <w:jc w:val="center"/>
              <w:rPr>
                <w:rFonts w:ascii="Arial" w:hAnsi="Arial" w:cs="Arial"/>
                <w:color w:val="000000"/>
              </w:rPr>
            </w:pPr>
            <w:r>
              <w:rPr>
                <w:rFonts w:ascii="Arial" w:hAnsi="Arial" w:cs="Arial"/>
                <w:color w:val="000000"/>
              </w:rPr>
              <w:t>9</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698B5841" w14:textId="77777777" w:rsidR="002D57EB" w:rsidRPr="003C16E2" w:rsidRDefault="002D57EB" w:rsidP="00C20CFE">
            <w:pPr>
              <w:jc w:val="center"/>
              <w:rPr>
                <w:rFonts w:ascii="Arial" w:hAnsi="Arial" w:cs="David"/>
                <w:b/>
                <w:bCs/>
                <w:color w:val="000000"/>
                <w:sz w:val="24"/>
                <w:szCs w:val="24"/>
              </w:rPr>
            </w:pPr>
            <w:r w:rsidRPr="003C16E2">
              <w:rPr>
                <w:rFonts w:ascii="Arial" w:hAnsi="Arial" w:cs="David" w:hint="cs"/>
                <w:b/>
                <w:bCs/>
                <w:color w:val="000000"/>
                <w:sz w:val="24"/>
                <w:szCs w:val="24"/>
                <w:rtl/>
              </w:rPr>
              <w:t>כימות התוצאה הרצויה מהיזם</w:t>
            </w:r>
          </w:p>
        </w:tc>
        <w:tc>
          <w:tcPr>
            <w:tcW w:w="876" w:type="pct"/>
            <w:vMerge/>
            <w:tcBorders>
              <w:left w:val="single" w:sz="4" w:space="0" w:color="auto"/>
              <w:right w:val="single" w:sz="4" w:space="0" w:color="auto"/>
            </w:tcBorders>
            <w:shd w:val="clear" w:color="auto" w:fill="auto"/>
            <w:noWrap/>
            <w:vAlign w:val="center"/>
            <w:hideMark/>
          </w:tcPr>
          <w:p w14:paraId="21C5A017" w14:textId="77777777" w:rsidR="002D57EB" w:rsidRPr="005A37C6" w:rsidRDefault="002D57EB" w:rsidP="00C20CFE">
            <w:pPr>
              <w:jc w:val="cente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359B4A1A" w14:textId="77777777" w:rsidR="002D57EB" w:rsidRPr="003C16E2" w:rsidRDefault="002D57EB" w:rsidP="00C20CFE">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2176A6AE"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5FE535E1"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w:t>
            </w:r>
          </w:p>
        </w:tc>
      </w:tr>
      <w:tr w:rsidR="002D57EB" w:rsidRPr="003C16E2" w14:paraId="13B09AB4"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7420F89F" w14:textId="77777777" w:rsidR="002D57EB" w:rsidRPr="003C16E2" w:rsidRDefault="002D57EB" w:rsidP="00C20CFE">
            <w:pPr>
              <w:bidi w:val="0"/>
              <w:jc w:val="center"/>
              <w:rPr>
                <w:rFonts w:ascii="Arial" w:hAnsi="Arial" w:cs="Arial"/>
                <w:color w:val="000000"/>
              </w:rPr>
            </w:pPr>
            <w:r>
              <w:rPr>
                <w:rFonts w:ascii="Arial" w:hAnsi="Arial" w:cs="Arial"/>
                <w:color w:val="000000"/>
              </w:rPr>
              <w:t>10</w:t>
            </w:r>
          </w:p>
        </w:tc>
        <w:tc>
          <w:tcPr>
            <w:tcW w:w="2137" w:type="pct"/>
            <w:tcBorders>
              <w:top w:val="nil"/>
              <w:left w:val="single" w:sz="4" w:space="0" w:color="auto"/>
              <w:bottom w:val="single" w:sz="4" w:space="0" w:color="auto"/>
              <w:right w:val="single" w:sz="4" w:space="0" w:color="auto"/>
            </w:tcBorders>
            <w:shd w:val="clear" w:color="auto" w:fill="auto"/>
            <w:noWrap/>
            <w:vAlign w:val="center"/>
            <w:hideMark/>
          </w:tcPr>
          <w:p w14:paraId="2FEEECDD" w14:textId="77777777" w:rsidR="002D57EB" w:rsidRPr="003C16E2" w:rsidRDefault="002D57EB" w:rsidP="00C20CFE">
            <w:pPr>
              <w:jc w:val="center"/>
              <w:rPr>
                <w:rFonts w:ascii="Arial" w:hAnsi="Arial" w:cs="David"/>
                <w:b/>
                <w:bCs/>
                <w:color w:val="000000"/>
                <w:sz w:val="24"/>
                <w:szCs w:val="24"/>
              </w:rPr>
            </w:pPr>
            <w:r w:rsidRPr="003C16E2">
              <w:rPr>
                <w:rFonts w:ascii="Arial" w:hAnsi="Arial" w:cs="David" w:hint="cs"/>
                <w:b/>
                <w:bCs/>
                <w:color w:val="000000"/>
                <w:sz w:val="24"/>
                <w:szCs w:val="24"/>
                <w:rtl/>
              </w:rPr>
              <w:t>בקרה מצד הרשות המקומית</w:t>
            </w:r>
          </w:p>
        </w:tc>
        <w:tc>
          <w:tcPr>
            <w:tcW w:w="876" w:type="pct"/>
            <w:vMerge/>
            <w:tcBorders>
              <w:left w:val="single" w:sz="4" w:space="0" w:color="auto"/>
              <w:right w:val="single" w:sz="4" w:space="0" w:color="auto"/>
            </w:tcBorders>
            <w:shd w:val="clear" w:color="auto" w:fill="auto"/>
            <w:noWrap/>
            <w:vAlign w:val="center"/>
            <w:hideMark/>
          </w:tcPr>
          <w:p w14:paraId="7C01B2EC" w14:textId="77777777" w:rsidR="002D57EB" w:rsidRPr="005A37C6" w:rsidRDefault="002D57EB" w:rsidP="00C20CFE">
            <w:pPr>
              <w:jc w:val="cente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hideMark/>
          </w:tcPr>
          <w:p w14:paraId="683A035D" w14:textId="77777777" w:rsidR="002D57EB" w:rsidRPr="003C16E2" w:rsidRDefault="002D57EB" w:rsidP="00C20CFE">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hideMark/>
          </w:tcPr>
          <w:p w14:paraId="149FFBE7"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588F7CB9"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w:t>
            </w:r>
          </w:p>
        </w:tc>
      </w:tr>
      <w:tr w:rsidR="002D57EB" w:rsidRPr="003C16E2" w14:paraId="6F959737" w14:textId="77777777" w:rsidTr="002D57EB">
        <w:trPr>
          <w:trHeight w:hRule="exact" w:val="551"/>
        </w:trPr>
        <w:tc>
          <w:tcPr>
            <w:tcW w:w="380" w:type="pct"/>
            <w:tcBorders>
              <w:top w:val="nil"/>
              <w:left w:val="single" w:sz="4" w:space="0" w:color="auto"/>
              <w:bottom w:val="single" w:sz="4" w:space="0" w:color="auto"/>
              <w:right w:val="single" w:sz="4" w:space="0" w:color="auto"/>
            </w:tcBorders>
            <w:shd w:val="clear" w:color="auto" w:fill="auto"/>
            <w:noWrap/>
            <w:vAlign w:val="center"/>
          </w:tcPr>
          <w:p w14:paraId="792BA887" w14:textId="77777777" w:rsidR="002D57EB" w:rsidRPr="003C16E2" w:rsidRDefault="002D57EB" w:rsidP="00C20CFE">
            <w:pPr>
              <w:bidi w:val="0"/>
              <w:jc w:val="center"/>
              <w:rPr>
                <w:rFonts w:ascii="Arial" w:hAnsi="Arial" w:cs="Arial"/>
                <w:color w:val="000000"/>
              </w:rPr>
            </w:pPr>
            <w:r>
              <w:rPr>
                <w:rFonts w:ascii="Arial" w:hAnsi="Arial" w:cs="Arial"/>
                <w:color w:val="000000"/>
              </w:rPr>
              <w:t>11</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1AED4BA4" w14:textId="77777777" w:rsidR="002D57EB" w:rsidRPr="003C16E2" w:rsidRDefault="002D57EB" w:rsidP="00C20CFE">
            <w:pPr>
              <w:jc w:val="center"/>
              <w:rPr>
                <w:rFonts w:ascii="Arial" w:hAnsi="Arial" w:cs="David"/>
                <w:b/>
                <w:bCs/>
                <w:color w:val="000000"/>
                <w:sz w:val="24"/>
                <w:szCs w:val="24"/>
              </w:rPr>
            </w:pPr>
            <w:r w:rsidRPr="003C16E2">
              <w:rPr>
                <w:rFonts w:ascii="Arial" w:hAnsi="Arial" w:cs="David" w:hint="cs"/>
                <w:b/>
                <w:bCs/>
                <w:color w:val="000000"/>
                <w:sz w:val="24"/>
                <w:szCs w:val="24"/>
                <w:rtl/>
              </w:rPr>
              <w:t>מנגנון להבטחת הקופה הציבורית ושימור זכויותיה</w:t>
            </w:r>
          </w:p>
        </w:tc>
        <w:tc>
          <w:tcPr>
            <w:tcW w:w="876" w:type="pct"/>
            <w:vMerge/>
            <w:tcBorders>
              <w:left w:val="single" w:sz="4" w:space="0" w:color="auto"/>
              <w:right w:val="single" w:sz="4" w:space="0" w:color="auto"/>
            </w:tcBorders>
            <w:shd w:val="clear" w:color="auto" w:fill="auto"/>
            <w:noWrap/>
            <w:vAlign w:val="center"/>
          </w:tcPr>
          <w:p w14:paraId="1C7B8B27" w14:textId="77777777" w:rsidR="002D57EB" w:rsidRDefault="002D57EB" w:rsidP="00C20CFE">
            <w:pPr>
              <w:jc w:val="center"/>
              <w:rPr>
                <w:rFonts w:ascii="Arial" w:hAnsi="Arial" w:cs="Arial"/>
                <w:color w:val="000000"/>
                <w:rtl/>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4A960FF7" w14:textId="77777777" w:rsidR="002D57EB" w:rsidRPr="003C16E2" w:rsidRDefault="002D57EB" w:rsidP="00C20CFE">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tcPr>
          <w:p w14:paraId="79EF446E"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6B2117A9" w14:textId="77777777" w:rsidR="002D57EB" w:rsidRPr="003C16E2" w:rsidRDefault="002D57EB" w:rsidP="00C20CFE">
            <w:pPr>
              <w:bidi w:val="0"/>
              <w:jc w:val="center"/>
              <w:rPr>
                <w:rFonts w:ascii="Arial" w:hAnsi="Arial" w:cs="Arial"/>
                <w:color w:val="000000"/>
              </w:rPr>
            </w:pPr>
          </w:p>
        </w:tc>
      </w:tr>
      <w:tr w:rsidR="002D57EB" w:rsidRPr="003C16E2" w14:paraId="363F63E7" w14:textId="77777777" w:rsidTr="002D57EB">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tcPr>
          <w:p w14:paraId="58D71DAD" w14:textId="77777777" w:rsidR="002D57EB" w:rsidRPr="003C16E2" w:rsidRDefault="002D57EB" w:rsidP="00C20CFE">
            <w:pPr>
              <w:bidi w:val="0"/>
              <w:jc w:val="center"/>
              <w:rPr>
                <w:rFonts w:ascii="Arial" w:hAnsi="Arial" w:cs="Arial"/>
                <w:color w:val="000000"/>
              </w:rPr>
            </w:pPr>
            <w:r>
              <w:rPr>
                <w:rFonts w:ascii="Arial" w:hAnsi="Arial" w:cs="Arial"/>
                <w:color w:val="000000"/>
              </w:rPr>
              <w:t>12</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4F9A6A10" w14:textId="77777777" w:rsidR="002D57EB" w:rsidRPr="003C16E2" w:rsidRDefault="002D57EB" w:rsidP="00C20CFE">
            <w:pPr>
              <w:jc w:val="center"/>
              <w:rPr>
                <w:rFonts w:ascii="Arial" w:hAnsi="Arial" w:cs="David"/>
                <w:b/>
                <w:bCs/>
                <w:color w:val="000000"/>
                <w:sz w:val="24"/>
                <w:szCs w:val="24"/>
              </w:rPr>
            </w:pPr>
            <w:r w:rsidRPr="003C16E2">
              <w:rPr>
                <w:rFonts w:ascii="Arial" w:hAnsi="Arial" w:cs="David" w:hint="cs"/>
                <w:b/>
                <w:bCs/>
                <w:color w:val="000000"/>
                <w:sz w:val="24"/>
                <w:szCs w:val="24"/>
                <w:rtl/>
              </w:rPr>
              <w:t>מנגנון לצמצום הסיכון המשפטי</w:t>
            </w:r>
          </w:p>
        </w:tc>
        <w:tc>
          <w:tcPr>
            <w:tcW w:w="876" w:type="pct"/>
            <w:vMerge/>
            <w:tcBorders>
              <w:left w:val="single" w:sz="4" w:space="0" w:color="auto"/>
              <w:right w:val="single" w:sz="4" w:space="0" w:color="auto"/>
            </w:tcBorders>
            <w:shd w:val="clear" w:color="auto" w:fill="auto"/>
            <w:noWrap/>
            <w:vAlign w:val="center"/>
          </w:tcPr>
          <w:p w14:paraId="71E3B715" w14:textId="77777777" w:rsidR="002D57EB" w:rsidRDefault="002D57EB" w:rsidP="00C20CFE">
            <w:pPr>
              <w:jc w:val="center"/>
              <w:rPr>
                <w:rFonts w:ascii="Arial" w:hAnsi="Arial" w:cs="Arial"/>
                <w:color w:val="000000"/>
                <w:rtl/>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47F3A793" w14:textId="77777777" w:rsidR="002D57EB" w:rsidRPr="003C16E2" w:rsidRDefault="002D57EB" w:rsidP="00C20CFE">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tcPr>
          <w:p w14:paraId="6970917C" w14:textId="77777777" w:rsidR="002D57EB" w:rsidRPr="003C16E2" w:rsidRDefault="002D57EB" w:rsidP="00C20CFE">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1E8A2F25" w14:textId="77777777" w:rsidR="002D57EB" w:rsidRPr="003C16E2" w:rsidRDefault="002D57EB" w:rsidP="00C20CFE">
            <w:pPr>
              <w:bidi w:val="0"/>
              <w:jc w:val="center"/>
              <w:rPr>
                <w:rFonts w:ascii="Arial" w:hAnsi="Arial" w:cs="Arial"/>
                <w:color w:val="000000"/>
              </w:rPr>
            </w:pPr>
          </w:p>
        </w:tc>
      </w:tr>
      <w:tr w:rsidR="002D57EB" w:rsidRPr="003C16E2" w14:paraId="47986B67" w14:textId="77777777" w:rsidTr="006940B6">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tcPr>
          <w:p w14:paraId="5F3059E6" w14:textId="0E2FEDD1" w:rsidR="002D57EB" w:rsidRDefault="002D57EB" w:rsidP="007D688D">
            <w:pPr>
              <w:bidi w:val="0"/>
              <w:jc w:val="center"/>
              <w:rPr>
                <w:rFonts w:ascii="Arial" w:hAnsi="Arial" w:cs="Arial"/>
                <w:color w:val="000000"/>
              </w:rPr>
            </w:pPr>
            <w:r>
              <w:rPr>
                <w:rFonts w:ascii="Arial" w:hAnsi="Arial" w:cs="Arial"/>
                <w:color w:val="000000"/>
              </w:rPr>
              <w:t>13</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5CF5C5B6" w14:textId="1DAF3A1B" w:rsidR="002D57EB" w:rsidRPr="003C16E2" w:rsidRDefault="002D57EB" w:rsidP="007D688D">
            <w:pPr>
              <w:jc w:val="center"/>
              <w:rPr>
                <w:rFonts w:ascii="Arial" w:hAnsi="Arial" w:cs="David"/>
                <w:b/>
                <w:bCs/>
                <w:color w:val="000000"/>
                <w:sz w:val="24"/>
                <w:szCs w:val="24"/>
                <w:rtl/>
              </w:rPr>
            </w:pPr>
            <w:r w:rsidRPr="003C16E2">
              <w:rPr>
                <w:rFonts w:ascii="Arial" w:hAnsi="Arial" w:cs="David" w:hint="cs"/>
                <w:b/>
                <w:bCs/>
                <w:color w:val="000000"/>
                <w:sz w:val="24"/>
                <w:szCs w:val="24"/>
                <w:rtl/>
              </w:rPr>
              <w:t>מנגנון תשלומים</w:t>
            </w:r>
          </w:p>
        </w:tc>
        <w:tc>
          <w:tcPr>
            <w:tcW w:w="876" w:type="pct"/>
            <w:vMerge/>
            <w:tcBorders>
              <w:left w:val="single" w:sz="4" w:space="0" w:color="auto"/>
              <w:right w:val="single" w:sz="4" w:space="0" w:color="auto"/>
            </w:tcBorders>
            <w:shd w:val="clear" w:color="auto" w:fill="auto"/>
            <w:noWrap/>
            <w:vAlign w:val="center"/>
          </w:tcPr>
          <w:p w14:paraId="5BAECC4E" w14:textId="77777777" w:rsidR="002D57EB" w:rsidRDefault="002D57EB" w:rsidP="007D688D">
            <w:pPr>
              <w:jc w:val="center"/>
              <w:rPr>
                <w:rFonts w:ascii="Arial" w:hAnsi="Arial" w:cs="Arial"/>
                <w:color w:val="000000"/>
                <w:rtl/>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5BE0A978" w14:textId="77777777" w:rsidR="002D57EB" w:rsidRPr="003C16E2" w:rsidRDefault="002D57EB" w:rsidP="007D688D">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tcPr>
          <w:p w14:paraId="54D25854" w14:textId="6654E883" w:rsidR="002D57EB" w:rsidRPr="003C16E2" w:rsidRDefault="002D57EB" w:rsidP="007D688D">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24937266" w14:textId="58065696" w:rsidR="002D57EB" w:rsidRPr="003C16E2" w:rsidRDefault="002D57EB" w:rsidP="007D688D">
            <w:pPr>
              <w:bidi w:val="0"/>
              <w:jc w:val="center"/>
              <w:rPr>
                <w:rFonts w:ascii="Arial" w:hAnsi="Arial" w:cs="Arial"/>
                <w:color w:val="000000"/>
              </w:rPr>
            </w:pPr>
          </w:p>
        </w:tc>
      </w:tr>
      <w:tr w:rsidR="002D57EB" w:rsidRPr="003C16E2" w14:paraId="5C0F7690" w14:textId="77777777" w:rsidTr="006940B6">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tcPr>
          <w:p w14:paraId="3D5D18AC" w14:textId="5FC31C27" w:rsidR="002D57EB" w:rsidRDefault="002D57EB" w:rsidP="007D688D">
            <w:pPr>
              <w:bidi w:val="0"/>
              <w:jc w:val="center"/>
              <w:rPr>
                <w:rFonts w:ascii="Arial" w:hAnsi="Arial" w:cs="Arial"/>
                <w:color w:val="000000"/>
              </w:rPr>
            </w:pPr>
            <w:r>
              <w:rPr>
                <w:rFonts w:ascii="Arial" w:hAnsi="Arial" w:cs="Arial"/>
                <w:color w:val="000000"/>
              </w:rPr>
              <w:t>14</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3788588D" w14:textId="6268C719" w:rsidR="002D57EB" w:rsidRPr="003C16E2" w:rsidRDefault="002D57EB" w:rsidP="007D688D">
            <w:pPr>
              <w:jc w:val="center"/>
              <w:rPr>
                <w:rFonts w:ascii="Arial" w:hAnsi="Arial" w:cs="David"/>
                <w:b/>
                <w:bCs/>
                <w:color w:val="000000"/>
                <w:sz w:val="24"/>
                <w:szCs w:val="24"/>
                <w:rtl/>
              </w:rPr>
            </w:pPr>
            <w:r w:rsidRPr="003C16E2">
              <w:rPr>
                <w:rFonts w:ascii="Arial" w:hAnsi="Arial" w:cs="David" w:hint="cs"/>
                <w:b/>
                <w:bCs/>
                <w:color w:val="000000"/>
                <w:sz w:val="24"/>
                <w:szCs w:val="24"/>
                <w:rtl/>
              </w:rPr>
              <w:t>תנאי סף להתמודדות</w:t>
            </w:r>
            <w:r>
              <w:rPr>
                <w:rFonts w:ascii="Arial" w:hAnsi="Arial" w:cs="David" w:hint="cs"/>
                <w:b/>
                <w:bCs/>
                <w:color w:val="000000"/>
                <w:sz w:val="24"/>
                <w:szCs w:val="24"/>
                <w:rtl/>
              </w:rPr>
              <w:t xml:space="preserve"> במכרז</w:t>
            </w:r>
          </w:p>
        </w:tc>
        <w:tc>
          <w:tcPr>
            <w:tcW w:w="876" w:type="pct"/>
            <w:vMerge/>
            <w:tcBorders>
              <w:left w:val="single" w:sz="4" w:space="0" w:color="auto"/>
              <w:right w:val="single" w:sz="4" w:space="0" w:color="auto"/>
            </w:tcBorders>
            <w:shd w:val="clear" w:color="auto" w:fill="auto"/>
            <w:noWrap/>
            <w:vAlign w:val="center"/>
          </w:tcPr>
          <w:p w14:paraId="04B9D971" w14:textId="77777777" w:rsidR="002D57EB" w:rsidRDefault="002D57EB" w:rsidP="007D688D">
            <w:pPr>
              <w:jc w:val="center"/>
              <w:rPr>
                <w:rFonts w:ascii="Arial" w:hAnsi="Arial" w:cs="Arial"/>
                <w:color w:val="000000"/>
                <w:rtl/>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68D76AB6" w14:textId="77777777" w:rsidR="002D57EB" w:rsidRPr="003C16E2" w:rsidRDefault="002D57EB" w:rsidP="007D688D">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vAlign w:val="center"/>
          </w:tcPr>
          <w:p w14:paraId="2B25BDD5" w14:textId="68AAFE4B" w:rsidR="002D57EB" w:rsidRPr="003C16E2" w:rsidRDefault="002D57EB" w:rsidP="007D688D">
            <w:pPr>
              <w:bidi w:val="0"/>
              <w:jc w:val="center"/>
              <w:rPr>
                <w:rFonts w:ascii="Arial" w:hAnsi="Arial" w:cs="Arial"/>
                <w:color w:val="000000"/>
              </w:rPr>
            </w:pPr>
            <w:r w:rsidRPr="003C16E2">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61F05591" w14:textId="06348F57" w:rsidR="002D57EB" w:rsidRPr="003C16E2" w:rsidRDefault="002D57EB" w:rsidP="007D688D">
            <w:pPr>
              <w:bidi w:val="0"/>
              <w:jc w:val="center"/>
              <w:rPr>
                <w:rFonts w:ascii="Arial" w:hAnsi="Arial" w:cs="Arial"/>
                <w:color w:val="000000"/>
              </w:rPr>
            </w:pPr>
          </w:p>
        </w:tc>
      </w:tr>
      <w:tr w:rsidR="002D57EB" w:rsidRPr="003C16E2" w14:paraId="1B9A6C0D" w14:textId="77777777" w:rsidTr="006940B6">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tcPr>
          <w:p w14:paraId="584458D0" w14:textId="5B1BEAF8" w:rsidR="002D57EB" w:rsidRDefault="002D57EB" w:rsidP="007D688D">
            <w:pPr>
              <w:bidi w:val="0"/>
              <w:jc w:val="center"/>
              <w:rPr>
                <w:rFonts w:ascii="Arial" w:hAnsi="Arial" w:cs="Arial"/>
                <w:color w:val="000000"/>
              </w:rPr>
            </w:pPr>
            <w:r>
              <w:rPr>
                <w:rFonts w:ascii="Arial" w:hAnsi="Arial" w:cs="Arial"/>
                <w:color w:val="000000"/>
              </w:rPr>
              <w:t>15</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51100FFC" w14:textId="22756488" w:rsidR="002D57EB" w:rsidRPr="003C16E2" w:rsidRDefault="002D57EB" w:rsidP="007D688D">
            <w:pPr>
              <w:jc w:val="center"/>
              <w:rPr>
                <w:rFonts w:ascii="Arial" w:hAnsi="Arial" w:cs="David"/>
                <w:b/>
                <w:bCs/>
                <w:color w:val="000000"/>
                <w:sz w:val="24"/>
                <w:szCs w:val="24"/>
                <w:rtl/>
              </w:rPr>
            </w:pPr>
            <w:r w:rsidRPr="00E11FD7">
              <w:rPr>
                <w:rFonts w:cs="David" w:hint="cs"/>
                <w:b/>
                <w:bCs/>
                <w:sz w:val="24"/>
                <w:szCs w:val="24"/>
                <w:rtl/>
              </w:rPr>
              <w:t>היענות למכרז</w:t>
            </w:r>
          </w:p>
        </w:tc>
        <w:tc>
          <w:tcPr>
            <w:tcW w:w="876" w:type="pct"/>
            <w:vMerge/>
            <w:tcBorders>
              <w:left w:val="single" w:sz="4" w:space="0" w:color="auto"/>
              <w:right w:val="single" w:sz="4" w:space="0" w:color="auto"/>
            </w:tcBorders>
            <w:shd w:val="clear" w:color="auto" w:fill="auto"/>
            <w:noWrap/>
            <w:vAlign w:val="center"/>
          </w:tcPr>
          <w:p w14:paraId="70420A04" w14:textId="77777777" w:rsidR="002D57EB" w:rsidRDefault="002D57EB" w:rsidP="007D688D">
            <w:pPr>
              <w:jc w:val="center"/>
              <w:rPr>
                <w:rFonts w:ascii="Arial" w:hAnsi="Arial" w:cs="Arial"/>
                <w:color w:val="000000"/>
                <w:rtl/>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308722A1" w14:textId="77777777" w:rsidR="002D57EB" w:rsidRPr="003C16E2" w:rsidRDefault="002D57EB" w:rsidP="007D688D">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tcPr>
          <w:p w14:paraId="4B4858F9" w14:textId="738C5C01" w:rsidR="002D57EB" w:rsidRPr="003C16E2" w:rsidRDefault="002D57EB" w:rsidP="007D688D">
            <w:pPr>
              <w:bidi w:val="0"/>
              <w:jc w:val="center"/>
              <w:rPr>
                <w:rFonts w:ascii="Arial" w:hAnsi="Arial" w:cs="Arial"/>
                <w:color w:val="000000"/>
              </w:rPr>
            </w:pPr>
            <w:r w:rsidRPr="00B9361D">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18A242C" w14:textId="77777777" w:rsidR="002D57EB" w:rsidRPr="003C16E2" w:rsidRDefault="002D57EB" w:rsidP="007D688D">
            <w:pPr>
              <w:bidi w:val="0"/>
              <w:jc w:val="center"/>
              <w:rPr>
                <w:rFonts w:ascii="Arial" w:hAnsi="Arial" w:cs="Arial"/>
                <w:color w:val="000000"/>
              </w:rPr>
            </w:pPr>
          </w:p>
        </w:tc>
      </w:tr>
      <w:tr w:rsidR="002D57EB" w:rsidRPr="003C16E2" w14:paraId="3CE1F21F" w14:textId="77777777" w:rsidTr="006940B6">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tcPr>
          <w:p w14:paraId="38E85701" w14:textId="24B0E588" w:rsidR="002D57EB" w:rsidRPr="003C16E2" w:rsidRDefault="002D57EB" w:rsidP="007D688D">
            <w:pPr>
              <w:bidi w:val="0"/>
              <w:jc w:val="center"/>
              <w:rPr>
                <w:rFonts w:ascii="Arial" w:hAnsi="Arial" w:cs="Arial"/>
                <w:color w:val="000000"/>
              </w:rPr>
            </w:pPr>
            <w:r>
              <w:rPr>
                <w:rFonts w:ascii="Arial" w:hAnsi="Arial" w:cs="Arial"/>
                <w:color w:val="000000"/>
              </w:rPr>
              <w:t>16</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445EA325" w14:textId="57D866A8" w:rsidR="002D57EB" w:rsidRPr="003C16E2" w:rsidRDefault="002D57EB" w:rsidP="007D688D">
            <w:pPr>
              <w:jc w:val="center"/>
              <w:rPr>
                <w:rFonts w:ascii="Arial" w:hAnsi="Arial" w:cs="David"/>
                <w:b/>
                <w:bCs/>
                <w:color w:val="000000"/>
                <w:sz w:val="24"/>
                <w:szCs w:val="24"/>
              </w:rPr>
            </w:pPr>
            <w:r>
              <w:rPr>
                <w:rFonts w:cs="David" w:hint="cs"/>
                <w:b/>
                <w:bCs/>
                <w:sz w:val="24"/>
                <w:szCs w:val="24"/>
                <w:rtl/>
              </w:rPr>
              <w:t>צדדים להסכם</w:t>
            </w:r>
          </w:p>
        </w:tc>
        <w:tc>
          <w:tcPr>
            <w:tcW w:w="876" w:type="pct"/>
            <w:vMerge/>
            <w:tcBorders>
              <w:left w:val="single" w:sz="4" w:space="0" w:color="auto"/>
              <w:right w:val="single" w:sz="4" w:space="0" w:color="auto"/>
            </w:tcBorders>
            <w:shd w:val="clear" w:color="auto" w:fill="auto"/>
            <w:noWrap/>
            <w:vAlign w:val="center"/>
          </w:tcPr>
          <w:p w14:paraId="7DA59DDA" w14:textId="77777777" w:rsidR="002D57EB" w:rsidRDefault="002D57EB" w:rsidP="007D688D">
            <w:pPr>
              <w:jc w:val="center"/>
              <w:rPr>
                <w:rFonts w:ascii="Arial" w:hAnsi="Arial" w:cs="Arial"/>
                <w:color w:val="000000"/>
                <w:rtl/>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55A5A51C" w14:textId="77777777" w:rsidR="002D57EB" w:rsidRPr="003C16E2" w:rsidRDefault="002D57EB" w:rsidP="007D688D">
            <w:pPr>
              <w:bidi w:val="0"/>
              <w:jc w:val="center"/>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tcPr>
          <w:p w14:paraId="4EBC192F" w14:textId="6AB28B98" w:rsidR="002D57EB" w:rsidRPr="003C16E2" w:rsidRDefault="002D57EB" w:rsidP="007D688D">
            <w:pPr>
              <w:bidi w:val="0"/>
              <w:jc w:val="center"/>
              <w:rPr>
                <w:rFonts w:ascii="Arial" w:hAnsi="Arial" w:cs="Arial"/>
                <w:color w:val="000000"/>
              </w:rPr>
            </w:pPr>
            <w:r w:rsidRPr="00B9361D">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211EFD23" w14:textId="77777777" w:rsidR="002D57EB" w:rsidRPr="003C16E2" w:rsidRDefault="002D57EB" w:rsidP="007D688D">
            <w:pPr>
              <w:bidi w:val="0"/>
              <w:jc w:val="center"/>
              <w:rPr>
                <w:rFonts w:ascii="Arial" w:hAnsi="Arial" w:cs="Arial"/>
                <w:color w:val="000000"/>
              </w:rPr>
            </w:pPr>
          </w:p>
        </w:tc>
      </w:tr>
      <w:tr w:rsidR="002D57EB" w:rsidRPr="003C16E2" w14:paraId="3557F9E5" w14:textId="77777777" w:rsidTr="006940B6">
        <w:trPr>
          <w:trHeight w:hRule="exact" w:val="454"/>
        </w:trPr>
        <w:tc>
          <w:tcPr>
            <w:tcW w:w="380" w:type="pct"/>
            <w:tcBorders>
              <w:top w:val="nil"/>
              <w:left w:val="single" w:sz="4" w:space="0" w:color="auto"/>
              <w:bottom w:val="single" w:sz="4" w:space="0" w:color="auto"/>
              <w:right w:val="single" w:sz="4" w:space="0" w:color="auto"/>
            </w:tcBorders>
            <w:shd w:val="clear" w:color="auto" w:fill="auto"/>
            <w:noWrap/>
            <w:vAlign w:val="center"/>
            <w:hideMark/>
          </w:tcPr>
          <w:p w14:paraId="431250E6" w14:textId="77777777" w:rsidR="002D57EB" w:rsidRPr="003C16E2" w:rsidRDefault="002D57EB" w:rsidP="007D688D">
            <w:pPr>
              <w:bidi w:val="0"/>
              <w:jc w:val="center"/>
              <w:rPr>
                <w:rFonts w:ascii="Arial" w:hAnsi="Arial" w:cs="Arial"/>
                <w:color w:val="000000"/>
              </w:rPr>
            </w:pPr>
            <w:r w:rsidRPr="003C16E2">
              <w:rPr>
                <w:rFonts w:ascii="Arial" w:hAnsi="Arial" w:cs="Arial"/>
                <w:color w:val="000000"/>
              </w:rPr>
              <w:t>17</w:t>
            </w:r>
          </w:p>
        </w:tc>
        <w:tc>
          <w:tcPr>
            <w:tcW w:w="2137" w:type="pct"/>
            <w:tcBorders>
              <w:top w:val="nil"/>
              <w:left w:val="single" w:sz="4" w:space="0" w:color="auto"/>
              <w:bottom w:val="single" w:sz="4" w:space="0" w:color="auto"/>
              <w:right w:val="single" w:sz="4" w:space="0" w:color="auto"/>
            </w:tcBorders>
            <w:shd w:val="clear" w:color="auto" w:fill="auto"/>
            <w:noWrap/>
            <w:vAlign w:val="center"/>
          </w:tcPr>
          <w:p w14:paraId="30B665E4" w14:textId="19B52590" w:rsidR="002D57EB" w:rsidRPr="003C16E2" w:rsidRDefault="002D57EB" w:rsidP="007D688D">
            <w:pPr>
              <w:jc w:val="center"/>
              <w:rPr>
                <w:rFonts w:ascii="Arial" w:hAnsi="Arial" w:cs="David"/>
                <w:b/>
                <w:bCs/>
                <w:color w:val="000000"/>
                <w:sz w:val="24"/>
                <w:szCs w:val="24"/>
                <w:rtl/>
              </w:rPr>
            </w:pPr>
            <w:r>
              <w:rPr>
                <w:rFonts w:cs="David" w:hint="cs"/>
                <w:b/>
                <w:bCs/>
                <w:sz w:val="24"/>
                <w:szCs w:val="24"/>
                <w:rtl/>
              </w:rPr>
              <w:t>טיוטת הסכם התקשרות וטיוטת מכרז</w:t>
            </w:r>
          </w:p>
        </w:tc>
        <w:tc>
          <w:tcPr>
            <w:tcW w:w="876" w:type="pct"/>
            <w:vMerge/>
            <w:tcBorders>
              <w:left w:val="single" w:sz="4" w:space="0" w:color="auto"/>
              <w:bottom w:val="single" w:sz="4" w:space="0" w:color="auto"/>
              <w:right w:val="single" w:sz="4" w:space="0" w:color="auto"/>
            </w:tcBorders>
            <w:shd w:val="clear" w:color="auto" w:fill="auto"/>
            <w:noWrap/>
            <w:vAlign w:val="center"/>
          </w:tcPr>
          <w:p w14:paraId="606FA99A" w14:textId="3C1E5255" w:rsidR="002D57EB" w:rsidRPr="005A37C6" w:rsidRDefault="002D57EB" w:rsidP="00F53D63">
            <w:pPr>
              <w:rPr>
                <w:rFonts w:ascii="Arial" w:hAnsi="Arial" w:cs="Arial"/>
                <w:color w:val="000000"/>
              </w:rPr>
            </w:pPr>
          </w:p>
        </w:tc>
        <w:tc>
          <w:tcPr>
            <w:tcW w:w="570" w:type="pct"/>
            <w:tcBorders>
              <w:top w:val="nil"/>
              <w:left w:val="single" w:sz="4" w:space="0" w:color="auto"/>
              <w:bottom w:val="single" w:sz="4" w:space="0" w:color="auto"/>
              <w:right w:val="single" w:sz="4" w:space="0" w:color="auto"/>
            </w:tcBorders>
            <w:shd w:val="clear" w:color="auto" w:fill="auto"/>
            <w:noWrap/>
            <w:vAlign w:val="center"/>
          </w:tcPr>
          <w:p w14:paraId="36CA679E" w14:textId="77777777" w:rsidR="002D57EB" w:rsidRPr="003C16E2" w:rsidRDefault="002D57EB" w:rsidP="00F53D63">
            <w:pPr>
              <w:bidi w:val="0"/>
              <w:rPr>
                <w:rFonts w:ascii="Arial" w:hAnsi="Arial" w:cs="Arial"/>
                <w:color w:val="000000"/>
              </w:rPr>
            </w:pPr>
          </w:p>
        </w:tc>
        <w:tc>
          <w:tcPr>
            <w:tcW w:w="404" w:type="pct"/>
            <w:tcBorders>
              <w:top w:val="nil"/>
              <w:left w:val="single" w:sz="4" w:space="0" w:color="auto"/>
              <w:bottom w:val="single" w:sz="4" w:space="0" w:color="auto"/>
              <w:right w:val="single" w:sz="4" w:space="0" w:color="auto"/>
            </w:tcBorders>
            <w:shd w:val="clear" w:color="auto" w:fill="auto"/>
            <w:noWrap/>
          </w:tcPr>
          <w:p w14:paraId="0DF5D6BE" w14:textId="5EA24286" w:rsidR="002D57EB" w:rsidRPr="003C16E2" w:rsidRDefault="002D57EB" w:rsidP="007D688D">
            <w:pPr>
              <w:bidi w:val="0"/>
              <w:jc w:val="center"/>
              <w:rPr>
                <w:rFonts w:ascii="Arial" w:hAnsi="Arial" w:cs="Arial"/>
                <w:color w:val="000000"/>
              </w:rPr>
            </w:pPr>
            <w:r w:rsidRPr="00B9361D">
              <w:rPr>
                <w:rFonts w:ascii="Arial" w:hAnsi="Arial" w:cs="Arial"/>
                <w:color w:val="000000"/>
              </w:rPr>
              <w:t> X</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B3BEF4C" w14:textId="569B9482" w:rsidR="002D57EB" w:rsidRPr="003C16E2" w:rsidRDefault="002D57EB" w:rsidP="00F53D63">
            <w:pPr>
              <w:bidi w:val="0"/>
              <w:rPr>
                <w:rFonts w:ascii="Arial" w:hAnsi="Arial" w:cs="Arial"/>
                <w:color w:val="000000"/>
              </w:rPr>
            </w:pPr>
          </w:p>
        </w:tc>
      </w:tr>
      <w:tr w:rsidR="002D57EB" w:rsidRPr="003C16E2" w14:paraId="4A4EB1FC" w14:textId="77777777" w:rsidTr="002D57EB">
        <w:trPr>
          <w:trHeight w:hRule="exact" w:val="1559"/>
        </w:trPr>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AA461" w14:textId="77777777" w:rsidR="005D56FE" w:rsidRPr="003C16E2" w:rsidRDefault="005D56FE" w:rsidP="00C20CFE">
            <w:pPr>
              <w:bidi w:val="0"/>
              <w:jc w:val="center"/>
              <w:rPr>
                <w:rFonts w:ascii="Arial" w:hAnsi="Arial" w:cs="Arial"/>
                <w:color w:val="000000"/>
              </w:rPr>
            </w:pPr>
            <w:r>
              <w:rPr>
                <w:rFonts w:ascii="Arial" w:hAnsi="Arial" w:cs="Arial" w:hint="cs"/>
                <w:color w:val="000000"/>
                <w:rtl/>
              </w:rPr>
              <w:t>18</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20DD14" w14:textId="77777777" w:rsidR="005D56FE" w:rsidRPr="003C16E2" w:rsidRDefault="005D56FE" w:rsidP="00C20CFE">
            <w:pPr>
              <w:jc w:val="center"/>
              <w:rPr>
                <w:rFonts w:ascii="Arial" w:hAnsi="Arial" w:cs="David"/>
                <w:b/>
                <w:bCs/>
                <w:color w:val="000000"/>
                <w:sz w:val="24"/>
                <w:szCs w:val="24"/>
              </w:rPr>
            </w:pPr>
            <w:r w:rsidRPr="003C16E2">
              <w:rPr>
                <w:rFonts w:ascii="Arial" w:hAnsi="Arial" w:cs="David" w:hint="cs"/>
                <w:b/>
                <w:bCs/>
                <w:color w:val="000000"/>
                <w:sz w:val="24"/>
                <w:szCs w:val="24"/>
                <w:rtl/>
              </w:rPr>
              <w:t>הסכם התקשרות חתום</w:t>
            </w:r>
            <w:r>
              <w:rPr>
                <w:rFonts w:ascii="Arial" w:hAnsi="Arial" w:cs="David" w:hint="cs"/>
                <w:b/>
                <w:bCs/>
                <w:color w:val="000000"/>
                <w:sz w:val="24"/>
                <w:szCs w:val="24"/>
                <w:rtl/>
              </w:rPr>
              <w:t xml:space="preserve"> (כולל </w:t>
            </w:r>
            <w:r w:rsidRPr="003C16E2">
              <w:rPr>
                <w:rFonts w:ascii="Arial" w:hAnsi="Arial" w:cs="David" w:hint="cs"/>
                <w:b/>
                <w:bCs/>
                <w:color w:val="000000"/>
                <w:sz w:val="24"/>
                <w:szCs w:val="24"/>
                <w:rtl/>
              </w:rPr>
              <w:t>פרוטוקול ועדת מכרזים לאישור ההתקשרות</w:t>
            </w:r>
            <w:r>
              <w:rPr>
                <w:rFonts w:ascii="Arial" w:hAnsi="Arial" w:cs="David" w:hint="cs"/>
                <w:b/>
                <w:bCs/>
                <w:color w:val="000000"/>
                <w:sz w:val="24"/>
                <w:szCs w:val="24"/>
                <w:rtl/>
              </w:rPr>
              <w:t>)</w:t>
            </w:r>
          </w:p>
        </w:tc>
        <w:tc>
          <w:tcPr>
            <w:tcW w:w="87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CE18D0" w14:textId="77777777" w:rsidR="005D56FE" w:rsidRPr="00F60A89" w:rsidRDefault="005D56FE" w:rsidP="00C20CFE">
            <w:pPr>
              <w:jc w:val="center"/>
              <w:rPr>
                <w:rFonts w:ascii="Arial" w:hAnsi="Arial" w:cs="Arial"/>
                <w:color w:val="000000"/>
                <w:sz w:val="16"/>
                <w:szCs w:val="16"/>
                <w:rtl/>
              </w:rPr>
            </w:pPr>
            <w:r w:rsidRPr="00F60A89">
              <w:rPr>
                <w:rFonts w:ascii="Arial" w:hAnsi="Arial" w:cs="Arial" w:hint="cs"/>
                <w:color w:val="000000"/>
                <w:sz w:val="16"/>
                <w:szCs w:val="16"/>
                <w:rtl/>
              </w:rPr>
              <w:t>הסכם התקשרות חתום</w:t>
            </w:r>
            <w:r>
              <w:rPr>
                <w:rFonts w:ascii="Arial" w:hAnsi="Arial" w:cs="Arial" w:hint="cs"/>
                <w:color w:val="000000"/>
                <w:sz w:val="16"/>
                <w:szCs w:val="16"/>
                <w:rtl/>
              </w:rPr>
              <w:t xml:space="preserve"> + </w:t>
            </w:r>
            <w:r w:rsidRPr="00F60A89">
              <w:rPr>
                <w:rFonts w:ascii="Arial" w:hAnsi="Arial" w:cs="Arial" w:hint="cs"/>
                <w:color w:val="000000"/>
                <w:sz w:val="16"/>
                <w:szCs w:val="16"/>
                <w:rtl/>
              </w:rPr>
              <w:t>פרוטוקול ועדת מכרזים לאישור ההתקשרות</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9AC784" w14:textId="77777777" w:rsidR="005D56FE" w:rsidRPr="003C16E2" w:rsidRDefault="005D56FE" w:rsidP="00C20CFE">
            <w:pPr>
              <w:bidi w:val="0"/>
              <w:rPr>
                <w:rFonts w:ascii="Arial" w:hAnsi="Arial" w:cs="Arial"/>
                <w:color w:val="000000"/>
              </w:rPr>
            </w:pPr>
            <w:r w:rsidRPr="003C16E2">
              <w:rPr>
                <w:rFonts w:ascii="Arial" w:hAnsi="Arial" w:cs="Arial"/>
                <w:color w:val="000000"/>
              </w:rPr>
              <w:t> </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E4F8A2" w14:textId="77777777" w:rsidR="005D56FE" w:rsidRPr="003C16E2" w:rsidRDefault="005D56FE" w:rsidP="00C20CFE">
            <w:pPr>
              <w:bidi w:val="0"/>
              <w:rPr>
                <w:rFonts w:ascii="Arial" w:hAnsi="Arial" w:cs="Arial"/>
                <w:color w:val="000000"/>
              </w:rPr>
            </w:pPr>
            <w:r w:rsidRPr="003C16E2">
              <w:rPr>
                <w:rFonts w:ascii="Arial" w:hAnsi="Arial" w:cs="Arial"/>
                <w:color w:val="000000"/>
              </w:rPr>
              <w:t> </w:t>
            </w:r>
          </w:p>
        </w:tc>
        <w:tc>
          <w:tcPr>
            <w:tcW w:w="6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2324FB"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r>
      <w:tr w:rsidR="002D57EB" w:rsidRPr="003C16E2" w14:paraId="0834F830" w14:textId="77777777" w:rsidTr="002D57EB">
        <w:trPr>
          <w:trHeight w:hRule="exact" w:val="454"/>
        </w:trPr>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0EF39A" w14:textId="77777777" w:rsidR="005D56FE" w:rsidRDefault="005D56FE" w:rsidP="00C20CFE">
            <w:pPr>
              <w:bidi w:val="0"/>
              <w:jc w:val="center"/>
              <w:rPr>
                <w:rFonts w:ascii="Arial" w:hAnsi="Arial" w:cs="Arial"/>
                <w:color w:val="000000"/>
                <w:rtl/>
              </w:rPr>
            </w:pPr>
            <w:r>
              <w:rPr>
                <w:rFonts w:ascii="Arial" w:hAnsi="Arial" w:cs="Arial"/>
                <w:color w:val="000000"/>
              </w:rPr>
              <w:t>19</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A439BC" w14:textId="77777777" w:rsidR="005D56FE" w:rsidRPr="003C16E2" w:rsidRDefault="005D56FE" w:rsidP="00C20CFE">
            <w:pPr>
              <w:jc w:val="center"/>
              <w:rPr>
                <w:rFonts w:ascii="Arial" w:hAnsi="Arial" w:cs="David"/>
                <w:b/>
                <w:bCs/>
                <w:color w:val="000000"/>
                <w:sz w:val="24"/>
                <w:szCs w:val="24"/>
              </w:rPr>
            </w:pPr>
            <w:r w:rsidRPr="003C16E2">
              <w:rPr>
                <w:rFonts w:ascii="Arial" w:hAnsi="Arial" w:cs="David" w:hint="cs"/>
                <w:b/>
                <w:bCs/>
                <w:color w:val="000000"/>
                <w:sz w:val="24"/>
                <w:szCs w:val="24"/>
                <w:rtl/>
              </w:rPr>
              <w:t>מכרז שפורסם</w:t>
            </w:r>
          </w:p>
        </w:tc>
        <w:tc>
          <w:tcPr>
            <w:tcW w:w="87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478C28" w14:textId="77777777" w:rsidR="005D56FE" w:rsidRPr="005A37C6" w:rsidRDefault="005D56FE" w:rsidP="00C20CFE">
            <w:pPr>
              <w:bidi w:val="0"/>
              <w:jc w:val="center"/>
              <w:rPr>
                <w:rFonts w:ascii="Arial" w:hAnsi="Arial" w:cs="Arial"/>
                <w:color w:val="000000"/>
                <w:rtl/>
              </w:rPr>
            </w:pPr>
            <w:r>
              <w:rPr>
                <w:rFonts w:ascii="Arial" w:hAnsi="Arial" w:cs="Arial" w:hint="cs"/>
                <w:color w:val="000000"/>
                <w:rtl/>
              </w:rPr>
              <w:t>מכרז שפורסם</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D8B079" w14:textId="77777777" w:rsidR="005D56FE" w:rsidRPr="003C16E2" w:rsidRDefault="005D56FE" w:rsidP="00C20CFE">
            <w:pPr>
              <w:bidi w:val="0"/>
              <w:rPr>
                <w:rFonts w:ascii="Arial" w:hAnsi="Arial" w:cs="Arial"/>
                <w:color w:val="000000"/>
              </w:rPr>
            </w:pPr>
            <w:r w:rsidRPr="003C16E2">
              <w:rPr>
                <w:rFonts w:ascii="Arial" w:hAnsi="Arial" w:cs="Arial"/>
                <w:color w:val="000000"/>
              </w:rPr>
              <w:t> </w:t>
            </w: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F7045F" w14:textId="77777777" w:rsidR="005D56FE" w:rsidRPr="003C16E2" w:rsidRDefault="005D56FE" w:rsidP="00C20CFE">
            <w:pPr>
              <w:bidi w:val="0"/>
              <w:rPr>
                <w:rFonts w:ascii="Arial" w:hAnsi="Arial" w:cs="Arial"/>
                <w:color w:val="000000"/>
              </w:rPr>
            </w:pPr>
            <w:r w:rsidRPr="003C16E2">
              <w:rPr>
                <w:rFonts w:ascii="Arial" w:hAnsi="Arial" w:cs="Arial"/>
                <w:color w:val="000000"/>
              </w:rPr>
              <w:t> </w:t>
            </w:r>
          </w:p>
        </w:tc>
        <w:tc>
          <w:tcPr>
            <w:tcW w:w="6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6F985D"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r>
      <w:tr w:rsidR="002D57EB" w:rsidRPr="003C16E2" w14:paraId="69FFBACA" w14:textId="77777777" w:rsidTr="002D57EB">
        <w:trPr>
          <w:trHeight w:hRule="exact" w:val="454"/>
        </w:trPr>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321F917" w14:textId="77777777" w:rsidR="005D56FE" w:rsidRDefault="005D56FE" w:rsidP="00C20CFE">
            <w:pPr>
              <w:bidi w:val="0"/>
              <w:jc w:val="center"/>
              <w:rPr>
                <w:rFonts w:ascii="Arial" w:hAnsi="Arial" w:cs="Arial"/>
                <w:color w:val="000000"/>
                <w:rtl/>
              </w:rPr>
            </w:pPr>
            <w:r>
              <w:rPr>
                <w:rFonts w:ascii="Arial" w:hAnsi="Arial" w:cs="Arial"/>
                <w:color w:val="000000"/>
              </w:rPr>
              <w:t>20</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5DD546" w14:textId="77777777" w:rsidR="005D56FE" w:rsidRPr="003C16E2" w:rsidRDefault="005D56FE" w:rsidP="00C20CFE">
            <w:pPr>
              <w:jc w:val="center"/>
              <w:rPr>
                <w:rFonts w:ascii="Arial" w:hAnsi="Arial" w:cs="David"/>
                <w:b/>
                <w:bCs/>
                <w:color w:val="000000"/>
                <w:sz w:val="24"/>
                <w:szCs w:val="24"/>
                <w:rtl/>
              </w:rPr>
            </w:pPr>
            <w:r>
              <w:rPr>
                <w:rFonts w:ascii="Arial" w:hAnsi="Arial" w:cs="David" w:hint="cs"/>
                <w:b/>
                <w:bCs/>
                <w:color w:val="000000"/>
                <w:sz w:val="24"/>
                <w:szCs w:val="24"/>
                <w:rtl/>
              </w:rPr>
              <w:t>חוות דעת משפטית</w:t>
            </w:r>
          </w:p>
        </w:tc>
        <w:tc>
          <w:tcPr>
            <w:tcW w:w="87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CBCA41" w14:textId="77777777" w:rsidR="005D56FE" w:rsidRDefault="005D56FE" w:rsidP="00C20CFE">
            <w:pPr>
              <w:bidi w:val="0"/>
              <w:jc w:val="center"/>
              <w:rPr>
                <w:rFonts w:ascii="Arial" w:hAnsi="Arial" w:cs="Arial"/>
                <w:color w:val="000000"/>
                <w:rtl/>
              </w:rPr>
            </w:pPr>
            <w:r>
              <w:rPr>
                <w:rFonts w:ascii="Arial" w:hAnsi="Arial" w:cs="Arial" w:hint="cs"/>
                <w:color w:val="000000"/>
                <w:rtl/>
              </w:rPr>
              <w:t>חוות דעת</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81AE1C6" w14:textId="77777777" w:rsidR="005D56FE" w:rsidRPr="003C16E2" w:rsidRDefault="005D56FE" w:rsidP="00C20CFE">
            <w:pPr>
              <w:bidi w:val="0"/>
              <w:rPr>
                <w:rFonts w:ascii="Arial" w:hAnsi="Arial" w:cs="Arial"/>
                <w:color w:val="000000"/>
              </w:rPr>
            </w:pP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A5451AD" w14:textId="77777777" w:rsidR="005D56FE" w:rsidRPr="003C16E2" w:rsidRDefault="005D56FE" w:rsidP="00C20CFE">
            <w:pPr>
              <w:bidi w:val="0"/>
              <w:rPr>
                <w:rFonts w:ascii="Arial" w:hAnsi="Arial" w:cs="Arial"/>
                <w:color w:val="000000"/>
              </w:rPr>
            </w:pPr>
          </w:p>
        </w:tc>
        <w:tc>
          <w:tcPr>
            <w:tcW w:w="63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CE5781"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r>
      <w:tr w:rsidR="002D57EB" w:rsidRPr="003C16E2" w14:paraId="4FFAD979" w14:textId="77777777" w:rsidTr="002D57EB">
        <w:trPr>
          <w:trHeight w:hRule="exact" w:val="454"/>
        </w:trPr>
        <w:tc>
          <w:tcPr>
            <w:tcW w:w="38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ADC9CD" w14:textId="77777777" w:rsidR="005D56FE" w:rsidRDefault="005D56FE" w:rsidP="00C20CFE">
            <w:pPr>
              <w:bidi w:val="0"/>
              <w:jc w:val="center"/>
              <w:rPr>
                <w:rFonts w:ascii="Arial" w:hAnsi="Arial" w:cs="Arial"/>
                <w:color w:val="000000"/>
                <w:rtl/>
              </w:rPr>
            </w:pPr>
            <w:r>
              <w:rPr>
                <w:rFonts w:ascii="Arial" w:hAnsi="Arial" w:cs="Arial"/>
                <w:color w:val="000000"/>
              </w:rPr>
              <w:t>21</w:t>
            </w:r>
          </w:p>
        </w:tc>
        <w:tc>
          <w:tcPr>
            <w:tcW w:w="213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237EF6" w14:textId="77777777" w:rsidR="005D56FE" w:rsidRPr="003C16E2" w:rsidRDefault="005D56FE" w:rsidP="00C20CFE">
            <w:pPr>
              <w:jc w:val="center"/>
              <w:rPr>
                <w:rFonts w:ascii="Arial" w:hAnsi="Arial" w:cs="David"/>
                <w:b/>
                <w:bCs/>
                <w:color w:val="000000"/>
                <w:sz w:val="24"/>
                <w:szCs w:val="24"/>
                <w:rtl/>
              </w:rPr>
            </w:pPr>
            <w:r>
              <w:rPr>
                <w:rFonts w:ascii="Arial" w:hAnsi="Arial" w:cs="David" w:hint="cs"/>
                <w:b/>
                <w:bCs/>
                <w:color w:val="000000"/>
                <w:sz w:val="24"/>
                <w:szCs w:val="24"/>
                <w:rtl/>
              </w:rPr>
              <w:t>החלטת מועצה לעניין אישור ההתקשרות</w:t>
            </w:r>
          </w:p>
        </w:tc>
        <w:tc>
          <w:tcPr>
            <w:tcW w:w="87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CA73C4" w14:textId="77777777" w:rsidR="005D56FE" w:rsidRDefault="005D56FE" w:rsidP="00C20CFE">
            <w:pPr>
              <w:bidi w:val="0"/>
              <w:jc w:val="center"/>
              <w:rPr>
                <w:rFonts w:ascii="Arial" w:hAnsi="Arial" w:cs="Arial"/>
                <w:color w:val="000000"/>
                <w:rtl/>
              </w:rPr>
            </w:pPr>
            <w:r>
              <w:rPr>
                <w:rFonts w:ascii="Arial" w:hAnsi="Arial" w:cs="Arial" w:hint="cs"/>
                <w:color w:val="000000"/>
                <w:rtl/>
              </w:rPr>
              <w:t>פרוטוקול</w:t>
            </w:r>
          </w:p>
        </w:tc>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DC7FC38" w14:textId="77777777" w:rsidR="005D56FE" w:rsidRPr="003C16E2" w:rsidRDefault="005D56FE" w:rsidP="00C20CFE">
            <w:pPr>
              <w:bidi w:val="0"/>
              <w:rPr>
                <w:rFonts w:ascii="Arial" w:hAnsi="Arial" w:cs="Arial"/>
                <w:color w:val="000000"/>
              </w:rPr>
            </w:pPr>
          </w:p>
        </w:tc>
        <w:tc>
          <w:tcPr>
            <w:tcW w:w="404"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C23DE43" w14:textId="77777777" w:rsidR="005D56FE" w:rsidRPr="003C16E2" w:rsidRDefault="005D56FE" w:rsidP="00C20CFE">
            <w:pPr>
              <w:bidi w:val="0"/>
              <w:rPr>
                <w:rFonts w:ascii="Arial" w:hAnsi="Arial" w:cs="Arial"/>
                <w:color w:val="000000"/>
              </w:rPr>
            </w:pPr>
          </w:p>
        </w:tc>
        <w:tc>
          <w:tcPr>
            <w:tcW w:w="63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7129C16" w14:textId="77777777" w:rsidR="005D56FE" w:rsidRPr="003C16E2" w:rsidRDefault="005D56FE" w:rsidP="00C20CFE">
            <w:pPr>
              <w:bidi w:val="0"/>
              <w:jc w:val="center"/>
              <w:rPr>
                <w:rFonts w:ascii="Arial" w:hAnsi="Arial" w:cs="Arial"/>
                <w:color w:val="000000"/>
              </w:rPr>
            </w:pPr>
            <w:r w:rsidRPr="003C16E2">
              <w:rPr>
                <w:rFonts w:ascii="Arial" w:hAnsi="Arial" w:cs="Arial"/>
                <w:color w:val="000000"/>
              </w:rPr>
              <w:t>X</w:t>
            </w:r>
          </w:p>
        </w:tc>
      </w:tr>
    </w:tbl>
    <w:p w14:paraId="5E4BA24A" w14:textId="11DEF5A2" w:rsidR="007D688D" w:rsidRDefault="007D688D" w:rsidP="007D688D">
      <w:pPr>
        <w:rPr>
          <w:rtl/>
        </w:rPr>
      </w:pPr>
    </w:p>
    <w:p w14:paraId="44CE7278" w14:textId="122C22EC" w:rsidR="00A22A95" w:rsidRPr="00621DFD" w:rsidRDefault="00A22A95" w:rsidP="007D688D">
      <w:pPr>
        <w:rPr>
          <w:rtl/>
        </w:rPr>
      </w:pPr>
      <w:r w:rsidRPr="00A22A95">
        <w:rPr>
          <w:noProof/>
        </w:rPr>
        <w:lastRenderedPageBreak/>
        <w:drawing>
          <wp:inline distT="0" distB="0" distL="0" distR="0" wp14:anchorId="4244690A" wp14:editId="654B930A">
            <wp:extent cx="4734936" cy="3236377"/>
            <wp:effectExtent l="0" t="0" r="8890" b="254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7455" t="14750" r="20968" b="10423"/>
                    <a:stretch/>
                  </pic:blipFill>
                  <pic:spPr bwMode="auto">
                    <a:xfrm>
                      <a:off x="0" y="0"/>
                      <a:ext cx="4747843" cy="3245199"/>
                    </a:xfrm>
                    <a:prstGeom prst="rect">
                      <a:avLst/>
                    </a:prstGeom>
                    <a:ln>
                      <a:noFill/>
                    </a:ln>
                    <a:extLst>
                      <a:ext uri="{53640926-AAD7-44D8-BBD7-CCE9431645EC}">
                        <a14:shadowObscured xmlns:a14="http://schemas.microsoft.com/office/drawing/2010/main"/>
                      </a:ext>
                    </a:extLst>
                  </pic:spPr>
                </pic:pic>
              </a:graphicData>
            </a:graphic>
          </wp:inline>
        </w:drawing>
      </w:r>
    </w:p>
    <w:sectPr w:rsidR="00A22A95" w:rsidRPr="00621DFD" w:rsidSect="00B118DE">
      <w:footerReference w:type="default" r:id="rId9"/>
      <w:pgSz w:w="11906" w:h="16838"/>
      <w:pgMar w:top="1440" w:right="1800" w:bottom="1440" w:left="2127"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FC2A28" w14:textId="77777777" w:rsidR="006870AD" w:rsidRDefault="006870AD" w:rsidP="006870AD">
      <w:pPr>
        <w:spacing w:after="0" w:line="240" w:lineRule="auto"/>
      </w:pPr>
      <w:r>
        <w:separator/>
      </w:r>
    </w:p>
  </w:endnote>
  <w:endnote w:type="continuationSeparator" w:id="0">
    <w:p w14:paraId="33081EFF" w14:textId="77777777" w:rsidR="006870AD" w:rsidRDefault="006870AD" w:rsidP="006870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114236450"/>
      <w:docPartObj>
        <w:docPartGallery w:val="Page Numbers (Bottom of Page)"/>
        <w:docPartUnique/>
      </w:docPartObj>
    </w:sdtPr>
    <w:sdtEndPr>
      <w:rPr>
        <w:cs/>
      </w:rPr>
    </w:sdtEndPr>
    <w:sdtContent>
      <w:p w14:paraId="1E903204" w14:textId="2C76A2BA" w:rsidR="006870AD" w:rsidRDefault="006870AD">
        <w:pPr>
          <w:pStyle w:val="ad"/>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3A7FC5" w:rsidRPr="003A7FC5">
          <w:rPr>
            <w:noProof/>
            <w:rtl/>
            <w:lang w:val="he-IL"/>
          </w:rPr>
          <w:t>2</w:t>
        </w:r>
        <w:r>
          <w:fldChar w:fldCharType="end"/>
        </w:r>
      </w:p>
    </w:sdtContent>
  </w:sdt>
  <w:p w14:paraId="3F7F09C3" w14:textId="77777777" w:rsidR="006870AD" w:rsidRDefault="006870AD">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D373BF" w14:textId="77777777" w:rsidR="006870AD" w:rsidRDefault="006870AD" w:rsidP="006870AD">
      <w:pPr>
        <w:spacing w:after="0" w:line="240" w:lineRule="auto"/>
      </w:pPr>
      <w:r>
        <w:separator/>
      </w:r>
    </w:p>
  </w:footnote>
  <w:footnote w:type="continuationSeparator" w:id="0">
    <w:p w14:paraId="6E1C9B3D" w14:textId="77777777" w:rsidR="006870AD" w:rsidRDefault="006870AD" w:rsidP="006870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81939BD"/>
    <w:multiLevelType w:val="multilevel"/>
    <w:tmpl w:val="0C04640A"/>
    <w:lvl w:ilvl="0">
      <w:start w:val="1"/>
      <w:numFmt w:val="decimal"/>
      <w:lvlText w:val="%1."/>
      <w:lvlJc w:val="left"/>
      <w:pPr>
        <w:ind w:left="360" w:hanging="360"/>
      </w:pPr>
      <w:rPr>
        <w:rFonts w:hint="default"/>
        <w:b w:val="0"/>
      </w:rPr>
    </w:lvl>
    <w:lvl w:ilvl="1">
      <w:start w:val="1"/>
      <w:numFmt w:val="decimal"/>
      <w:isLgl/>
      <w:lvlText w:val="%1.%2"/>
      <w:lvlJc w:val="left"/>
      <w:pPr>
        <w:ind w:left="795" w:hanging="435"/>
      </w:pPr>
      <w:rPr>
        <w:rFonts w:hint="default"/>
        <w:b/>
        <w:bCs/>
      </w:rPr>
    </w:lvl>
    <w:lvl w:ilvl="2">
      <w:start w:val="1"/>
      <w:numFmt w:val="decimal"/>
      <w:isLgl/>
      <w:lvlText w:val="%1.%2.%3"/>
      <w:lvlJc w:val="left"/>
      <w:pPr>
        <w:ind w:left="1145" w:hanging="720"/>
      </w:pPr>
      <w:rPr>
        <w:rFonts w:hint="default"/>
        <w:b w:val="0"/>
        <w:bCs w:val="0"/>
        <w:lang w:bidi="he-IL"/>
      </w:rPr>
    </w:lvl>
    <w:lvl w:ilvl="3">
      <w:start w:val="1"/>
      <w:numFmt w:val="decimal"/>
      <w:isLgl/>
      <w:lvlText w:val="%1.%2.%3.%4"/>
      <w:lvlJc w:val="left"/>
      <w:pPr>
        <w:ind w:left="1854" w:hanging="720"/>
      </w:pPr>
      <w:rPr>
        <w:rFonts w:hint="default"/>
        <w:b w:val="0"/>
        <w:bCs w:val="0"/>
      </w:rPr>
    </w:lvl>
    <w:lvl w:ilvl="4">
      <w:start w:val="1"/>
      <w:numFmt w:val="decimal"/>
      <w:isLgl/>
      <w:lvlText w:val="%1.%2.%3.%4.%5"/>
      <w:lvlJc w:val="left"/>
      <w:pPr>
        <w:ind w:left="2639" w:hanging="1080"/>
      </w:pPr>
      <w:rPr>
        <w:rFonts w:hint="default"/>
      </w:rPr>
    </w:lvl>
    <w:lvl w:ilvl="5">
      <w:start w:val="1"/>
      <w:numFmt w:val="decimal"/>
      <w:isLgl/>
      <w:lvlText w:val="%1.%2.%3.%4.%5.%6"/>
      <w:lvlJc w:val="left"/>
      <w:pPr>
        <w:ind w:left="4057"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4BCA389E"/>
    <w:multiLevelType w:val="hybridMultilevel"/>
    <w:tmpl w:val="0CE4F9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5335697"/>
    <w:multiLevelType w:val="hybridMultilevel"/>
    <w:tmpl w:val="5D866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1DFD"/>
    <w:rsid w:val="00046396"/>
    <w:rsid w:val="00096616"/>
    <w:rsid w:val="000D7177"/>
    <w:rsid w:val="000F1EC1"/>
    <w:rsid w:val="001B654E"/>
    <w:rsid w:val="001C75AF"/>
    <w:rsid w:val="002B0A36"/>
    <w:rsid w:val="002D57EB"/>
    <w:rsid w:val="0030271C"/>
    <w:rsid w:val="00367DBA"/>
    <w:rsid w:val="003A7FC5"/>
    <w:rsid w:val="003B339E"/>
    <w:rsid w:val="00451269"/>
    <w:rsid w:val="004B7942"/>
    <w:rsid w:val="004F08C8"/>
    <w:rsid w:val="005D56FE"/>
    <w:rsid w:val="00607C0C"/>
    <w:rsid w:val="00621DFD"/>
    <w:rsid w:val="00681902"/>
    <w:rsid w:val="006870AD"/>
    <w:rsid w:val="006E3879"/>
    <w:rsid w:val="007516ED"/>
    <w:rsid w:val="007D688D"/>
    <w:rsid w:val="0083506D"/>
    <w:rsid w:val="00893B8D"/>
    <w:rsid w:val="009A13C0"/>
    <w:rsid w:val="009D6023"/>
    <w:rsid w:val="00A22A95"/>
    <w:rsid w:val="00B118DE"/>
    <w:rsid w:val="00BB7AE8"/>
    <w:rsid w:val="00C20CC5"/>
    <w:rsid w:val="00C23895"/>
    <w:rsid w:val="00DC2F8D"/>
    <w:rsid w:val="00E80403"/>
    <w:rsid w:val="00E85306"/>
    <w:rsid w:val="00F53D63"/>
    <w:rsid w:val="00F65058"/>
    <w:rsid w:val="00F909E4"/>
    <w:rsid w:val="00FE10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6B17F"/>
  <w15:docId w15:val="{4CB18A38-6FC2-4B32-9C3E-45EAFC6760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56FE"/>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paragraph" w:styleId="a4">
    <w:name w:val="Balloon Text"/>
    <w:basedOn w:val="a"/>
    <w:link w:val="a5"/>
    <w:uiPriority w:val="99"/>
    <w:semiHidden/>
    <w:unhideWhenUsed/>
    <w:rsid w:val="00096616"/>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096616"/>
    <w:rPr>
      <w:rFonts w:ascii="Tahoma" w:hAnsi="Tahoma" w:cs="Tahoma"/>
      <w:sz w:val="16"/>
      <w:szCs w:val="16"/>
    </w:rPr>
  </w:style>
  <w:style w:type="character" w:styleId="a6">
    <w:name w:val="annotation reference"/>
    <w:basedOn w:val="a0"/>
    <w:uiPriority w:val="99"/>
    <w:semiHidden/>
    <w:unhideWhenUsed/>
    <w:rsid w:val="000F1EC1"/>
    <w:rPr>
      <w:sz w:val="16"/>
      <w:szCs w:val="16"/>
    </w:rPr>
  </w:style>
  <w:style w:type="paragraph" w:styleId="a7">
    <w:name w:val="annotation text"/>
    <w:basedOn w:val="a"/>
    <w:link w:val="a8"/>
    <w:uiPriority w:val="99"/>
    <w:semiHidden/>
    <w:unhideWhenUsed/>
    <w:rsid w:val="000F1EC1"/>
    <w:pPr>
      <w:spacing w:line="240" w:lineRule="auto"/>
    </w:pPr>
    <w:rPr>
      <w:sz w:val="20"/>
      <w:szCs w:val="20"/>
    </w:rPr>
  </w:style>
  <w:style w:type="character" w:customStyle="1" w:styleId="a8">
    <w:name w:val="טקסט הערה תו"/>
    <w:basedOn w:val="a0"/>
    <w:link w:val="a7"/>
    <w:uiPriority w:val="99"/>
    <w:semiHidden/>
    <w:rsid w:val="000F1EC1"/>
    <w:rPr>
      <w:sz w:val="20"/>
      <w:szCs w:val="20"/>
    </w:rPr>
  </w:style>
  <w:style w:type="paragraph" w:styleId="a9">
    <w:name w:val="annotation subject"/>
    <w:basedOn w:val="a7"/>
    <w:next w:val="a7"/>
    <w:link w:val="aa"/>
    <w:uiPriority w:val="99"/>
    <w:semiHidden/>
    <w:unhideWhenUsed/>
    <w:rsid w:val="000F1EC1"/>
    <w:rPr>
      <w:b/>
      <w:bCs/>
    </w:rPr>
  </w:style>
  <w:style w:type="character" w:customStyle="1" w:styleId="aa">
    <w:name w:val="נושא הערה תו"/>
    <w:basedOn w:val="a8"/>
    <w:link w:val="a9"/>
    <w:uiPriority w:val="99"/>
    <w:semiHidden/>
    <w:rsid w:val="000F1EC1"/>
    <w:rPr>
      <w:b/>
      <w:bCs/>
      <w:sz w:val="20"/>
      <w:szCs w:val="20"/>
    </w:rPr>
  </w:style>
  <w:style w:type="paragraph" w:styleId="NormalWeb">
    <w:name w:val="Normal (Web)"/>
    <w:basedOn w:val="a"/>
    <w:uiPriority w:val="99"/>
    <w:semiHidden/>
    <w:unhideWhenUsed/>
    <w:rsid w:val="009A13C0"/>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b">
    <w:name w:val="header"/>
    <w:basedOn w:val="a"/>
    <w:link w:val="ac"/>
    <w:uiPriority w:val="99"/>
    <w:unhideWhenUsed/>
    <w:rsid w:val="006870AD"/>
    <w:pPr>
      <w:tabs>
        <w:tab w:val="center" w:pos="4153"/>
        <w:tab w:val="right" w:pos="8306"/>
      </w:tabs>
      <w:spacing w:after="0" w:line="240" w:lineRule="auto"/>
    </w:pPr>
  </w:style>
  <w:style w:type="character" w:customStyle="1" w:styleId="ac">
    <w:name w:val="כותרת עליונה תו"/>
    <w:basedOn w:val="a0"/>
    <w:link w:val="ab"/>
    <w:uiPriority w:val="99"/>
    <w:rsid w:val="006870AD"/>
  </w:style>
  <w:style w:type="paragraph" w:styleId="ad">
    <w:name w:val="footer"/>
    <w:basedOn w:val="a"/>
    <w:link w:val="ae"/>
    <w:uiPriority w:val="99"/>
    <w:unhideWhenUsed/>
    <w:rsid w:val="006870AD"/>
    <w:pPr>
      <w:tabs>
        <w:tab w:val="center" w:pos="4153"/>
        <w:tab w:val="right" w:pos="8306"/>
      </w:tabs>
      <w:spacing w:after="0" w:line="240" w:lineRule="auto"/>
    </w:pPr>
  </w:style>
  <w:style w:type="character" w:customStyle="1" w:styleId="ae">
    <w:name w:val="כותרת תחתונה תו"/>
    <w:basedOn w:val="a0"/>
    <w:link w:val="ad"/>
    <w:uiPriority w:val="99"/>
    <w:rsid w:val="006870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5120468">
      <w:bodyDiv w:val="1"/>
      <w:marLeft w:val="0"/>
      <w:marRight w:val="0"/>
      <w:marTop w:val="0"/>
      <w:marBottom w:val="0"/>
      <w:divBdr>
        <w:top w:val="none" w:sz="0" w:space="0" w:color="auto"/>
        <w:left w:val="none" w:sz="0" w:space="0" w:color="auto"/>
        <w:bottom w:val="none" w:sz="0" w:space="0" w:color="auto"/>
        <w:right w:val="none" w:sz="0" w:space="0" w:color="auto"/>
      </w:divBdr>
    </w:div>
    <w:div w:id="1160655264">
      <w:bodyDiv w:val="1"/>
      <w:marLeft w:val="0"/>
      <w:marRight w:val="0"/>
      <w:marTop w:val="0"/>
      <w:marBottom w:val="0"/>
      <w:divBdr>
        <w:top w:val="none" w:sz="0" w:space="0" w:color="auto"/>
        <w:left w:val="none" w:sz="0" w:space="0" w:color="auto"/>
        <w:bottom w:val="none" w:sz="0" w:space="0" w:color="auto"/>
        <w:right w:val="none" w:sz="0" w:space="0" w:color="auto"/>
      </w:divBdr>
    </w:div>
    <w:div w:id="1218858484">
      <w:bodyDiv w:val="1"/>
      <w:marLeft w:val="0"/>
      <w:marRight w:val="0"/>
      <w:marTop w:val="0"/>
      <w:marBottom w:val="0"/>
      <w:divBdr>
        <w:top w:val="none" w:sz="0" w:space="0" w:color="auto"/>
        <w:left w:val="none" w:sz="0" w:space="0" w:color="auto"/>
        <w:bottom w:val="none" w:sz="0" w:space="0" w:color="auto"/>
        <w:right w:val="none" w:sz="0" w:space="0" w:color="auto"/>
      </w:divBdr>
    </w:div>
    <w:div w:id="1444613266">
      <w:bodyDiv w:val="1"/>
      <w:marLeft w:val="0"/>
      <w:marRight w:val="0"/>
      <w:marTop w:val="0"/>
      <w:marBottom w:val="0"/>
      <w:divBdr>
        <w:top w:val="none" w:sz="0" w:space="0" w:color="auto"/>
        <w:left w:val="none" w:sz="0" w:space="0" w:color="auto"/>
        <w:bottom w:val="none" w:sz="0" w:space="0" w:color="auto"/>
        <w:right w:val="none" w:sz="0" w:space="0" w:color="auto"/>
      </w:divBdr>
    </w:div>
    <w:div w:id="1670936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01A9B1BF-F9C5-4302-BF97-E74654937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2762</Words>
  <Characters>13810</Characters>
  <Application>Microsoft Office Word</Application>
  <DocSecurity>0</DocSecurity>
  <Lines>115</Lines>
  <Paragraphs>33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16539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תלמיד 3</dc:creator>
  <cp:lastModifiedBy>מילכה גרינימן</cp:lastModifiedBy>
  <cp:revision>3</cp:revision>
  <cp:lastPrinted>2019-02-07T12:13:00Z</cp:lastPrinted>
  <dcterms:created xsi:type="dcterms:W3CDTF">2019-02-25T06:28:00Z</dcterms:created>
  <dcterms:modified xsi:type="dcterms:W3CDTF">2019-02-26T08:21:00Z</dcterms:modified>
</cp:coreProperties>
</file>